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6F98" w:rsidRPr="00140A3E" w:rsidRDefault="00140A3E" w:rsidP="00596F98">
      <w:pPr>
        <w:tabs>
          <w:tab w:val="left" w:pos="567"/>
        </w:tabs>
        <w:rPr>
          <w:rFonts w:ascii="Arial" w:hAnsi="Arial" w:cs="Arial"/>
          <w:b/>
          <w:bCs/>
          <w:sz w:val="22"/>
          <w:szCs w:val="22"/>
        </w:rPr>
      </w:pPr>
      <w:r w:rsidRPr="00140A3E">
        <w:rPr>
          <w:rStyle w:val="Textoennegrita"/>
          <w:rFonts w:ascii="Arial" w:hAnsi="Arial" w:cs="Arial"/>
          <w:sz w:val="22"/>
          <w:szCs w:val="22"/>
        </w:rPr>
        <w:t xml:space="preserve">CIRCULAR N°74 DEL 03 DE DICIEMBRE DEL 2010 </w:t>
      </w:r>
      <w:r w:rsidRPr="00140A3E">
        <w:rPr>
          <w:rFonts w:ascii="Arial" w:hAnsi="Arial" w:cs="Arial"/>
          <w:b/>
          <w:bCs/>
          <w:sz w:val="22"/>
          <w:szCs w:val="22"/>
        </w:rPr>
        <w:br/>
      </w:r>
      <w:r w:rsidRPr="00140A3E">
        <w:rPr>
          <w:rStyle w:val="Textoennegrita"/>
          <w:rFonts w:ascii="Arial" w:hAnsi="Arial" w:cs="Arial"/>
          <w:sz w:val="22"/>
          <w:szCs w:val="22"/>
        </w:rPr>
        <w:t>MATERIA: INSTRUCCIONES SOBRE EL IMPUESTO ESPECÍFICO A LA RENTA OPERACIONAL DE LA ACTIVIDAD MINERA, DE ACUERDO A LO DISPUESTO EN LOS ARTÍCULOS 64 BIS Y 64 TER, DE LA LEY SOBRE IMPUESTO A LA RENTA, CONFORME A LAS MODIFICACIONES INTRODUCIDAS POR LA LEY 20.469, DE 2010.</w:t>
      </w:r>
      <w:r>
        <w:rPr>
          <w:rStyle w:val="Textoennegrita"/>
          <w:rFonts w:ascii="Arial" w:hAnsi="Arial" w:cs="Arial"/>
          <w:sz w:val="22"/>
          <w:szCs w:val="22"/>
        </w:rPr>
        <w:br/>
      </w:r>
    </w:p>
    <w:p w:rsidR="00315326" w:rsidRDefault="00315326" w:rsidP="00596F98">
      <w:pPr>
        <w:tabs>
          <w:tab w:val="left" w:pos="567"/>
        </w:tabs>
        <w:rPr>
          <w:rFonts w:ascii="Arial" w:hAnsi="Arial" w:cs="Arial"/>
          <w:b/>
          <w:bCs/>
          <w:sz w:val="22"/>
        </w:rPr>
      </w:pPr>
    </w:p>
    <w:p w:rsidR="00596F98" w:rsidRPr="00252C1F" w:rsidRDefault="00596F98" w:rsidP="00596F98">
      <w:pPr>
        <w:tabs>
          <w:tab w:val="left" w:pos="567"/>
        </w:tabs>
        <w:rPr>
          <w:rFonts w:ascii="Arial" w:hAnsi="Arial" w:cs="Arial"/>
          <w:b/>
          <w:bCs/>
          <w:sz w:val="22"/>
        </w:rPr>
      </w:pPr>
      <w:r w:rsidRPr="00252C1F">
        <w:rPr>
          <w:rFonts w:ascii="Arial" w:hAnsi="Arial" w:cs="Arial"/>
          <w:b/>
          <w:bCs/>
          <w:sz w:val="22"/>
        </w:rPr>
        <w:t>I.-</w:t>
      </w:r>
      <w:r w:rsidRPr="00252C1F">
        <w:rPr>
          <w:rFonts w:ascii="Arial" w:hAnsi="Arial" w:cs="Arial"/>
          <w:b/>
          <w:bCs/>
          <w:sz w:val="22"/>
        </w:rPr>
        <w:tab/>
      </w:r>
      <w:r w:rsidR="008902AD" w:rsidRPr="00252C1F">
        <w:rPr>
          <w:rFonts w:ascii="Arial" w:hAnsi="Arial" w:cs="Arial"/>
          <w:b/>
          <w:bCs/>
          <w:sz w:val="22"/>
        </w:rPr>
        <w:t>INTRODUCCIÓ</w:t>
      </w:r>
      <w:r w:rsidRPr="00252C1F">
        <w:rPr>
          <w:rFonts w:ascii="Arial" w:hAnsi="Arial" w:cs="Arial"/>
          <w:b/>
          <w:bCs/>
          <w:sz w:val="22"/>
        </w:rPr>
        <w:t>N.</w:t>
      </w:r>
    </w:p>
    <w:p w:rsidR="00596F98" w:rsidRPr="00252C1F" w:rsidRDefault="00596F98" w:rsidP="00596F98">
      <w:pPr>
        <w:pStyle w:val="Textoindependiente2"/>
        <w:ind w:left="-426" w:right="-284"/>
        <w:rPr>
          <w:rFonts w:cs="Arial"/>
          <w:b w:val="0"/>
        </w:rPr>
      </w:pPr>
    </w:p>
    <w:p w:rsidR="00315326" w:rsidRDefault="00315326" w:rsidP="00820F51">
      <w:pPr>
        <w:pStyle w:val="Textoindependiente2"/>
        <w:rPr>
          <w:b w:val="0"/>
          <w:u w:val="none"/>
        </w:rPr>
      </w:pPr>
    </w:p>
    <w:p w:rsidR="0051173F" w:rsidRPr="00252C1F" w:rsidRDefault="00596F98" w:rsidP="00820F51">
      <w:pPr>
        <w:pStyle w:val="Textoindependiente2"/>
        <w:rPr>
          <w:b w:val="0"/>
          <w:u w:val="none"/>
        </w:rPr>
      </w:pPr>
      <w:r w:rsidRPr="00252C1F">
        <w:rPr>
          <w:b w:val="0"/>
          <w:u w:val="none"/>
        </w:rPr>
        <w:t>En el Diario Oficial de 21 de octubre de 2010, se publicó la Ley 20.46</w:t>
      </w:r>
      <w:r w:rsidR="00FB35DA" w:rsidRPr="00252C1F">
        <w:rPr>
          <w:b w:val="0"/>
          <w:u w:val="none"/>
        </w:rPr>
        <w:t>9</w:t>
      </w:r>
      <w:r w:rsidRPr="00252C1F">
        <w:rPr>
          <w:b w:val="0"/>
          <w:u w:val="none"/>
        </w:rPr>
        <w:t>,</w:t>
      </w:r>
      <w:r w:rsidR="008902AD" w:rsidRPr="00252C1F">
        <w:rPr>
          <w:b w:val="0"/>
          <w:u w:val="none"/>
        </w:rPr>
        <w:t xml:space="preserve"> relativa a las siguientes materias</w:t>
      </w:r>
      <w:r w:rsidR="0051173F" w:rsidRPr="00252C1F">
        <w:rPr>
          <w:b w:val="0"/>
          <w:u w:val="none"/>
        </w:rPr>
        <w:t>:</w:t>
      </w:r>
    </w:p>
    <w:p w:rsidR="0051173F" w:rsidRPr="00252C1F" w:rsidRDefault="0051173F" w:rsidP="0051173F">
      <w:pPr>
        <w:pStyle w:val="Textoindependiente2"/>
        <w:ind w:left="360"/>
        <w:rPr>
          <w:b w:val="0"/>
          <w:u w:val="none"/>
        </w:rPr>
      </w:pPr>
    </w:p>
    <w:p w:rsidR="0051173F" w:rsidRPr="00252C1F" w:rsidRDefault="0051173F" w:rsidP="009A788D">
      <w:pPr>
        <w:pStyle w:val="Textoindependiente2"/>
        <w:numPr>
          <w:ilvl w:val="0"/>
          <w:numId w:val="13"/>
        </w:numPr>
        <w:tabs>
          <w:tab w:val="left" w:pos="284"/>
        </w:tabs>
        <w:ind w:left="0" w:firstLine="0"/>
        <w:rPr>
          <w:b w:val="0"/>
          <w:u w:val="none"/>
        </w:rPr>
      </w:pPr>
      <w:r w:rsidRPr="00252C1F">
        <w:rPr>
          <w:b w:val="0"/>
          <w:u w:val="none"/>
        </w:rPr>
        <w:t>S</w:t>
      </w:r>
      <w:r w:rsidR="004F2903" w:rsidRPr="00252C1F">
        <w:rPr>
          <w:b w:val="0"/>
          <w:u w:val="none"/>
        </w:rPr>
        <w:t>ustituyó e</w:t>
      </w:r>
      <w:r w:rsidR="00596F98" w:rsidRPr="00252C1F">
        <w:rPr>
          <w:b w:val="0"/>
          <w:u w:val="none"/>
        </w:rPr>
        <w:t>l artículo 64 bis de la L</w:t>
      </w:r>
      <w:r w:rsidR="004B5446" w:rsidRPr="00252C1F">
        <w:rPr>
          <w:b w:val="0"/>
          <w:u w:val="none"/>
        </w:rPr>
        <w:t xml:space="preserve">ey sobre Impuesto a la </w:t>
      </w:r>
      <w:r w:rsidR="00596F98" w:rsidRPr="00252C1F">
        <w:rPr>
          <w:b w:val="0"/>
          <w:u w:val="none"/>
        </w:rPr>
        <w:t>R</w:t>
      </w:r>
      <w:r w:rsidR="004B5446" w:rsidRPr="00252C1F">
        <w:rPr>
          <w:b w:val="0"/>
          <w:u w:val="none"/>
        </w:rPr>
        <w:t>enta</w:t>
      </w:r>
      <w:r w:rsidR="00FB35DA" w:rsidRPr="00252C1F">
        <w:rPr>
          <w:b w:val="0"/>
          <w:u w:val="none"/>
        </w:rPr>
        <w:t>,</w:t>
      </w:r>
      <w:r w:rsidR="00596F98" w:rsidRPr="00252C1F">
        <w:rPr>
          <w:b w:val="0"/>
          <w:u w:val="none"/>
        </w:rPr>
        <w:t xml:space="preserve"> que establece un impuesto </w:t>
      </w:r>
      <w:r w:rsidR="00187BB8" w:rsidRPr="00252C1F">
        <w:rPr>
          <w:b w:val="0"/>
          <w:u w:val="none"/>
        </w:rPr>
        <w:t>específico</w:t>
      </w:r>
      <w:r w:rsidR="00596F98" w:rsidRPr="00252C1F">
        <w:rPr>
          <w:b w:val="0"/>
          <w:u w:val="none"/>
        </w:rPr>
        <w:t xml:space="preserve"> a la renta operacional</w:t>
      </w:r>
      <w:r w:rsidR="004B5446" w:rsidRPr="00252C1F">
        <w:rPr>
          <w:b w:val="0"/>
          <w:u w:val="none"/>
        </w:rPr>
        <w:t xml:space="preserve"> de la actividad minera</w:t>
      </w:r>
      <w:r w:rsidR="00596F98" w:rsidRPr="00252C1F">
        <w:rPr>
          <w:b w:val="0"/>
          <w:u w:val="none"/>
        </w:rPr>
        <w:t xml:space="preserve"> obtenida por un explotador minero</w:t>
      </w:r>
      <w:r w:rsidRPr="00252C1F">
        <w:rPr>
          <w:b w:val="0"/>
          <w:u w:val="none"/>
        </w:rPr>
        <w:t>;</w:t>
      </w:r>
    </w:p>
    <w:p w:rsidR="0051173F" w:rsidRPr="00252C1F" w:rsidRDefault="0051173F" w:rsidP="009A788D">
      <w:pPr>
        <w:pStyle w:val="Textoindependiente2"/>
        <w:tabs>
          <w:tab w:val="left" w:pos="284"/>
        </w:tabs>
        <w:rPr>
          <w:b w:val="0"/>
          <w:u w:val="none"/>
        </w:rPr>
      </w:pPr>
    </w:p>
    <w:p w:rsidR="0051173F" w:rsidRPr="00252C1F" w:rsidRDefault="0051173F" w:rsidP="009A788D">
      <w:pPr>
        <w:pStyle w:val="Textoindependiente2"/>
        <w:numPr>
          <w:ilvl w:val="0"/>
          <w:numId w:val="13"/>
        </w:numPr>
        <w:tabs>
          <w:tab w:val="left" w:pos="284"/>
        </w:tabs>
        <w:ind w:left="0" w:firstLine="0"/>
        <w:rPr>
          <w:b w:val="0"/>
          <w:u w:val="none"/>
        </w:rPr>
      </w:pPr>
      <w:r w:rsidRPr="00252C1F">
        <w:rPr>
          <w:b w:val="0"/>
          <w:u w:val="none"/>
        </w:rPr>
        <w:t>I</w:t>
      </w:r>
      <w:r w:rsidR="00596F98" w:rsidRPr="00252C1F">
        <w:rPr>
          <w:b w:val="0"/>
          <w:u w:val="none"/>
        </w:rPr>
        <w:t>ncorpor</w:t>
      </w:r>
      <w:r w:rsidR="004B5446" w:rsidRPr="00252C1F">
        <w:rPr>
          <w:b w:val="0"/>
          <w:u w:val="none"/>
        </w:rPr>
        <w:t>ó</w:t>
      </w:r>
      <w:r w:rsidR="00596F98" w:rsidRPr="00252C1F">
        <w:rPr>
          <w:b w:val="0"/>
          <w:u w:val="none"/>
        </w:rPr>
        <w:t xml:space="preserve"> al</w:t>
      </w:r>
      <w:r w:rsidR="004B5446" w:rsidRPr="00252C1F">
        <w:rPr>
          <w:b w:val="0"/>
          <w:u w:val="none"/>
        </w:rPr>
        <w:t xml:space="preserve"> citado texto legal</w:t>
      </w:r>
      <w:r w:rsidR="00596F98" w:rsidRPr="00252C1F">
        <w:rPr>
          <w:b w:val="0"/>
          <w:u w:val="none"/>
        </w:rPr>
        <w:t xml:space="preserve"> un nuevo artículo 64 ter</w:t>
      </w:r>
      <w:r w:rsidR="00FB35DA" w:rsidRPr="00252C1F">
        <w:rPr>
          <w:b w:val="0"/>
          <w:u w:val="none"/>
        </w:rPr>
        <w:t>, relativo a la</w:t>
      </w:r>
      <w:r w:rsidR="00596F98" w:rsidRPr="00252C1F">
        <w:rPr>
          <w:b w:val="0"/>
          <w:u w:val="none"/>
        </w:rPr>
        <w:t xml:space="preserve"> forma de determinar la renta imponible operacional minera, que hasta antes de </w:t>
      </w:r>
      <w:r w:rsidR="004B5446" w:rsidRPr="00252C1F">
        <w:rPr>
          <w:b w:val="0"/>
          <w:u w:val="none"/>
        </w:rPr>
        <w:t>esta</w:t>
      </w:r>
      <w:r w:rsidR="00596F98" w:rsidRPr="00252C1F">
        <w:rPr>
          <w:b w:val="0"/>
          <w:u w:val="none"/>
        </w:rPr>
        <w:t xml:space="preserve"> modificación se trata</w:t>
      </w:r>
      <w:r w:rsidR="00146A72">
        <w:rPr>
          <w:b w:val="0"/>
          <w:u w:val="none"/>
        </w:rPr>
        <w:t>b</w:t>
      </w:r>
      <w:r w:rsidR="00596F98" w:rsidRPr="00252C1F">
        <w:rPr>
          <w:b w:val="0"/>
          <w:u w:val="none"/>
        </w:rPr>
        <w:t xml:space="preserve">a en el </w:t>
      </w:r>
      <w:r w:rsidR="004B5446" w:rsidRPr="00252C1F">
        <w:rPr>
          <w:b w:val="0"/>
          <w:u w:val="none"/>
        </w:rPr>
        <w:t>sustituido</w:t>
      </w:r>
      <w:r w:rsidR="00596F98" w:rsidRPr="00252C1F">
        <w:rPr>
          <w:b w:val="0"/>
          <w:u w:val="none"/>
        </w:rPr>
        <w:t xml:space="preserve"> artículo 64 bis</w:t>
      </w:r>
      <w:r w:rsidRPr="00252C1F">
        <w:rPr>
          <w:b w:val="0"/>
          <w:u w:val="none"/>
        </w:rPr>
        <w:t>;</w:t>
      </w:r>
    </w:p>
    <w:p w:rsidR="0051173F" w:rsidRPr="00252C1F" w:rsidRDefault="0051173F" w:rsidP="009A788D">
      <w:pPr>
        <w:pStyle w:val="Textoindependiente2"/>
        <w:tabs>
          <w:tab w:val="left" w:pos="284"/>
        </w:tabs>
        <w:rPr>
          <w:b w:val="0"/>
          <w:u w:val="none"/>
        </w:rPr>
      </w:pPr>
    </w:p>
    <w:p w:rsidR="0051173F" w:rsidRPr="00252C1F" w:rsidRDefault="0051173F" w:rsidP="009A788D">
      <w:pPr>
        <w:pStyle w:val="Textoindependiente2"/>
        <w:numPr>
          <w:ilvl w:val="0"/>
          <w:numId w:val="13"/>
        </w:numPr>
        <w:tabs>
          <w:tab w:val="left" w:pos="284"/>
        </w:tabs>
        <w:ind w:left="0" w:firstLine="0"/>
        <w:rPr>
          <w:b w:val="0"/>
          <w:u w:val="none"/>
        </w:rPr>
      </w:pPr>
      <w:r w:rsidRPr="00252C1F">
        <w:rPr>
          <w:b w:val="0"/>
          <w:u w:val="none"/>
        </w:rPr>
        <w:t>M</w:t>
      </w:r>
      <w:r w:rsidR="00596F98" w:rsidRPr="00252C1F">
        <w:rPr>
          <w:b w:val="0"/>
          <w:u w:val="none"/>
        </w:rPr>
        <w:t>odific</w:t>
      </w:r>
      <w:r w:rsidRPr="00252C1F">
        <w:rPr>
          <w:b w:val="0"/>
          <w:u w:val="none"/>
        </w:rPr>
        <w:t>ó</w:t>
      </w:r>
      <w:r w:rsidR="00596F98" w:rsidRPr="00252C1F">
        <w:rPr>
          <w:b w:val="0"/>
          <w:u w:val="none"/>
        </w:rPr>
        <w:t xml:space="preserve"> </w:t>
      </w:r>
      <w:r w:rsidR="00190968" w:rsidRPr="00252C1F">
        <w:rPr>
          <w:b w:val="0"/>
          <w:u w:val="none"/>
        </w:rPr>
        <w:t>el</w:t>
      </w:r>
      <w:r w:rsidR="008275F2">
        <w:rPr>
          <w:b w:val="0"/>
          <w:u w:val="none"/>
        </w:rPr>
        <w:t xml:space="preserve"> artículo 11 ter del </w:t>
      </w:r>
      <w:r w:rsidR="00190968" w:rsidRPr="00252C1F">
        <w:rPr>
          <w:b w:val="0"/>
          <w:u w:val="none"/>
        </w:rPr>
        <w:t>D</w:t>
      </w:r>
      <w:r w:rsidR="008902AD" w:rsidRPr="00252C1F">
        <w:rPr>
          <w:b w:val="0"/>
          <w:u w:val="none"/>
        </w:rPr>
        <w:t xml:space="preserve">ecreto </w:t>
      </w:r>
      <w:r w:rsidR="00190968" w:rsidRPr="00252C1F">
        <w:rPr>
          <w:b w:val="0"/>
          <w:u w:val="none"/>
        </w:rPr>
        <w:t>L</w:t>
      </w:r>
      <w:r w:rsidR="008902AD" w:rsidRPr="00252C1F">
        <w:rPr>
          <w:b w:val="0"/>
          <w:u w:val="none"/>
        </w:rPr>
        <w:t xml:space="preserve">ey </w:t>
      </w:r>
      <w:r w:rsidR="00190968" w:rsidRPr="00252C1F">
        <w:rPr>
          <w:b w:val="0"/>
          <w:u w:val="none"/>
        </w:rPr>
        <w:t>600, de 1974</w:t>
      </w:r>
      <w:r w:rsidRPr="00252C1F">
        <w:rPr>
          <w:b w:val="0"/>
          <w:u w:val="none"/>
        </w:rPr>
        <w:t>, y</w:t>
      </w:r>
    </w:p>
    <w:p w:rsidR="0051173F" w:rsidRPr="00252C1F" w:rsidRDefault="0051173F" w:rsidP="009A788D">
      <w:pPr>
        <w:pStyle w:val="Prrafodelista"/>
        <w:tabs>
          <w:tab w:val="left" w:pos="284"/>
        </w:tabs>
        <w:ind w:left="0"/>
        <w:rPr>
          <w:b/>
        </w:rPr>
      </w:pPr>
    </w:p>
    <w:p w:rsidR="00596F98" w:rsidRPr="00252C1F" w:rsidRDefault="0051173F" w:rsidP="009A788D">
      <w:pPr>
        <w:pStyle w:val="Textoindependiente2"/>
        <w:numPr>
          <w:ilvl w:val="0"/>
          <w:numId w:val="13"/>
        </w:numPr>
        <w:tabs>
          <w:tab w:val="left" w:pos="284"/>
        </w:tabs>
        <w:ind w:left="0" w:firstLine="0"/>
        <w:rPr>
          <w:b w:val="0"/>
          <w:u w:val="none"/>
        </w:rPr>
      </w:pPr>
      <w:r w:rsidRPr="00252C1F">
        <w:rPr>
          <w:b w:val="0"/>
          <w:u w:val="none"/>
        </w:rPr>
        <w:t>E</w:t>
      </w:r>
      <w:r w:rsidR="00596F98" w:rsidRPr="00252C1F">
        <w:rPr>
          <w:b w:val="0"/>
          <w:u w:val="none"/>
        </w:rPr>
        <w:t>stablec</w:t>
      </w:r>
      <w:r w:rsidRPr="00252C1F">
        <w:rPr>
          <w:b w:val="0"/>
          <w:u w:val="none"/>
        </w:rPr>
        <w:t>ió</w:t>
      </w:r>
      <w:r w:rsidR="00596F98" w:rsidRPr="00252C1F">
        <w:rPr>
          <w:b w:val="0"/>
          <w:u w:val="none"/>
        </w:rPr>
        <w:t xml:space="preserve"> normas de </w:t>
      </w:r>
      <w:r w:rsidR="00B75C85" w:rsidRPr="00252C1F">
        <w:rPr>
          <w:b w:val="0"/>
          <w:u w:val="none"/>
        </w:rPr>
        <w:t xml:space="preserve">carácter </w:t>
      </w:r>
      <w:r w:rsidR="00596F98" w:rsidRPr="00252C1F">
        <w:rPr>
          <w:b w:val="0"/>
          <w:u w:val="none"/>
        </w:rPr>
        <w:t>transitori</w:t>
      </w:r>
      <w:r w:rsidR="00B75C85" w:rsidRPr="00252C1F">
        <w:rPr>
          <w:b w:val="0"/>
          <w:u w:val="none"/>
        </w:rPr>
        <w:t>o</w:t>
      </w:r>
      <w:r w:rsidR="00596F98" w:rsidRPr="00252C1F">
        <w:rPr>
          <w:b w:val="0"/>
          <w:u w:val="none"/>
        </w:rPr>
        <w:t xml:space="preserve"> </w:t>
      </w:r>
      <w:r w:rsidR="00B75C85" w:rsidRPr="00252C1F">
        <w:rPr>
          <w:b w:val="0"/>
          <w:u w:val="none"/>
        </w:rPr>
        <w:t>y</w:t>
      </w:r>
      <w:r w:rsidR="00596F98" w:rsidRPr="00252C1F">
        <w:rPr>
          <w:b w:val="0"/>
          <w:u w:val="none"/>
        </w:rPr>
        <w:t xml:space="preserve"> opcional</w:t>
      </w:r>
      <w:r w:rsidR="00B75C85" w:rsidRPr="00252C1F">
        <w:rPr>
          <w:b w:val="0"/>
          <w:u w:val="none"/>
        </w:rPr>
        <w:t>,</w:t>
      </w:r>
      <w:r w:rsidR="00596F98" w:rsidRPr="00252C1F">
        <w:rPr>
          <w:b w:val="0"/>
          <w:u w:val="none"/>
        </w:rPr>
        <w:t xml:space="preserve"> a las que se pueden acoger los inversionistas </w:t>
      </w:r>
      <w:r w:rsidR="00146A72">
        <w:rPr>
          <w:b w:val="0"/>
          <w:u w:val="none"/>
        </w:rPr>
        <w:t>o</w:t>
      </w:r>
      <w:r w:rsidR="00596F98" w:rsidRPr="00252C1F">
        <w:rPr>
          <w:b w:val="0"/>
          <w:u w:val="none"/>
        </w:rPr>
        <w:t xml:space="preserve"> empresas </w:t>
      </w:r>
      <w:r w:rsidR="00032AC0" w:rsidRPr="00252C1F">
        <w:rPr>
          <w:b w:val="0"/>
          <w:u w:val="none"/>
        </w:rPr>
        <w:t>que se encuentren sujetos a los artículos 7, 11 bis y 11 ter del DL 600,</w:t>
      </w:r>
      <w:r w:rsidR="00B75C85" w:rsidRPr="00252C1F">
        <w:rPr>
          <w:b w:val="0"/>
          <w:u w:val="none"/>
        </w:rPr>
        <w:t xml:space="preserve"> de 1974;</w:t>
      </w:r>
      <w:r w:rsidR="00032AC0" w:rsidRPr="00252C1F">
        <w:rPr>
          <w:b w:val="0"/>
          <w:u w:val="none"/>
        </w:rPr>
        <w:t xml:space="preserve"> 5° transitorio de la Ley 20.026, y </w:t>
      </w:r>
      <w:r w:rsidR="00146A72">
        <w:rPr>
          <w:b w:val="0"/>
          <w:u w:val="none"/>
        </w:rPr>
        <w:t>empresas que no siendo receptoras del aporte de inversionista</w:t>
      </w:r>
      <w:r w:rsidR="00533F32">
        <w:rPr>
          <w:b w:val="0"/>
          <w:u w:val="none"/>
        </w:rPr>
        <w:t>s extranjeros queden comprendida</w:t>
      </w:r>
      <w:r w:rsidR="00146A72">
        <w:rPr>
          <w:b w:val="0"/>
          <w:u w:val="none"/>
        </w:rPr>
        <w:t>s en las disposiciones de su artículo 4° transitorio</w:t>
      </w:r>
      <w:r w:rsidR="00596F98" w:rsidRPr="00252C1F">
        <w:rPr>
          <w:b w:val="0"/>
          <w:u w:val="none"/>
        </w:rPr>
        <w:t xml:space="preserve">. </w:t>
      </w:r>
    </w:p>
    <w:p w:rsidR="00596F98" w:rsidRPr="00252C1F" w:rsidRDefault="00596F98" w:rsidP="00D95B03">
      <w:pPr>
        <w:pStyle w:val="Textoindependiente2"/>
        <w:ind w:left="1134" w:hanging="424"/>
        <w:rPr>
          <w:b w:val="0"/>
          <w:u w:val="none"/>
        </w:rPr>
      </w:pPr>
    </w:p>
    <w:p w:rsidR="00596F98" w:rsidRPr="00252C1F" w:rsidRDefault="00596F98" w:rsidP="00820F51">
      <w:pPr>
        <w:tabs>
          <w:tab w:val="left" w:pos="-284"/>
        </w:tabs>
        <w:suppressAutoHyphens/>
        <w:jc w:val="both"/>
        <w:rPr>
          <w:rFonts w:ascii="Arial" w:hAnsi="Arial" w:cs="Arial"/>
          <w:sz w:val="22"/>
        </w:rPr>
      </w:pPr>
      <w:r w:rsidRPr="00252C1F">
        <w:rPr>
          <w:rFonts w:ascii="Arial" w:hAnsi="Arial" w:cs="Arial"/>
          <w:sz w:val="22"/>
        </w:rPr>
        <w:t xml:space="preserve">La presente Circular tiene por objeto </w:t>
      </w:r>
      <w:r w:rsidR="00820F51" w:rsidRPr="00252C1F">
        <w:rPr>
          <w:rFonts w:ascii="Arial" w:hAnsi="Arial" w:cs="Arial"/>
          <w:sz w:val="22"/>
        </w:rPr>
        <w:t>impartir</w:t>
      </w:r>
      <w:r w:rsidRPr="00252C1F">
        <w:rPr>
          <w:rFonts w:ascii="Arial" w:hAnsi="Arial" w:cs="Arial"/>
          <w:sz w:val="22"/>
        </w:rPr>
        <w:t xml:space="preserve"> instrucciones </w:t>
      </w:r>
      <w:r w:rsidR="00B27751" w:rsidRPr="00252C1F">
        <w:rPr>
          <w:rFonts w:ascii="Arial" w:hAnsi="Arial" w:cs="Arial"/>
          <w:sz w:val="22"/>
        </w:rPr>
        <w:t>sobre e</w:t>
      </w:r>
      <w:r w:rsidRPr="00252C1F">
        <w:rPr>
          <w:rFonts w:ascii="Arial" w:hAnsi="Arial" w:cs="Arial"/>
          <w:sz w:val="22"/>
        </w:rPr>
        <w:t xml:space="preserve">l </w:t>
      </w:r>
      <w:r w:rsidR="00B27751" w:rsidRPr="00252C1F">
        <w:rPr>
          <w:rFonts w:ascii="Arial" w:hAnsi="Arial" w:cs="Arial"/>
          <w:sz w:val="22"/>
        </w:rPr>
        <w:t xml:space="preserve">nuevo </w:t>
      </w:r>
      <w:r w:rsidRPr="00252C1F">
        <w:rPr>
          <w:rFonts w:ascii="Arial" w:hAnsi="Arial" w:cs="Arial"/>
          <w:sz w:val="22"/>
        </w:rPr>
        <w:t xml:space="preserve">régimen tributario </w:t>
      </w:r>
      <w:r w:rsidR="00E16374" w:rsidRPr="00252C1F">
        <w:rPr>
          <w:rFonts w:ascii="Arial" w:hAnsi="Arial" w:cs="Arial"/>
          <w:sz w:val="22"/>
        </w:rPr>
        <w:t xml:space="preserve">permanente </w:t>
      </w:r>
      <w:r w:rsidRPr="00252C1F">
        <w:rPr>
          <w:rFonts w:ascii="Arial" w:hAnsi="Arial" w:cs="Arial"/>
          <w:sz w:val="22"/>
        </w:rPr>
        <w:t>del</w:t>
      </w:r>
      <w:r w:rsidR="00B27751" w:rsidRPr="00252C1F">
        <w:rPr>
          <w:rFonts w:ascii="Arial" w:hAnsi="Arial" w:cs="Arial"/>
          <w:sz w:val="22"/>
        </w:rPr>
        <w:t xml:space="preserve"> impuesto específico a la renta operacional de la actividad minera </w:t>
      </w:r>
      <w:r w:rsidRPr="00252C1F">
        <w:rPr>
          <w:rFonts w:ascii="Arial" w:hAnsi="Arial" w:cs="Arial"/>
          <w:sz w:val="22"/>
        </w:rPr>
        <w:t xml:space="preserve">establecido en los </w:t>
      </w:r>
      <w:r w:rsidRPr="00252C1F">
        <w:rPr>
          <w:rFonts w:ascii="Arial" w:hAnsi="Arial"/>
          <w:spacing w:val="-3"/>
          <w:sz w:val="22"/>
          <w:lang w:val="es-ES_tradnl"/>
        </w:rPr>
        <w:t xml:space="preserve">artículos 64 bis </w:t>
      </w:r>
      <w:r w:rsidR="00B46B5C" w:rsidRPr="00252C1F">
        <w:rPr>
          <w:rFonts w:ascii="Arial" w:hAnsi="Arial"/>
          <w:spacing w:val="-3"/>
          <w:sz w:val="22"/>
          <w:lang w:val="es-ES_tradnl"/>
        </w:rPr>
        <w:t xml:space="preserve">y </w:t>
      </w:r>
      <w:r w:rsidRPr="00252C1F">
        <w:rPr>
          <w:rFonts w:ascii="Arial" w:hAnsi="Arial"/>
          <w:spacing w:val="-3"/>
          <w:sz w:val="22"/>
          <w:lang w:val="es-ES_tradnl"/>
        </w:rPr>
        <w:t xml:space="preserve">64 ter de la LIR </w:t>
      </w:r>
      <w:r w:rsidR="00B46B5C" w:rsidRPr="00EA0119">
        <w:rPr>
          <w:rFonts w:ascii="Arial" w:hAnsi="Arial"/>
          <w:b/>
          <w:spacing w:val="-3"/>
          <w:sz w:val="22"/>
          <w:lang w:val="es-ES_tradnl"/>
        </w:rPr>
        <w:t>(</w:t>
      </w:r>
      <w:r w:rsidR="00D30D89" w:rsidRPr="00EA0119">
        <w:rPr>
          <w:rFonts w:ascii="Arial" w:hAnsi="Arial"/>
          <w:b/>
          <w:spacing w:val="-3"/>
          <w:sz w:val="22"/>
          <w:lang w:val="es-ES_tradnl"/>
        </w:rPr>
        <w:t>Capítulo</w:t>
      </w:r>
      <w:r w:rsidR="00D95B03" w:rsidRPr="00EA0119">
        <w:rPr>
          <w:rFonts w:ascii="Arial" w:hAnsi="Arial"/>
          <w:b/>
          <w:spacing w:val="-3"/>
          <w:sz w:val="22"/>
          <w:lang w:val="es-ES_tradnl"/>
        </w:rPr>
        <w:t xml:space="preserve"> </w:t>
      </w:r>
      <w:r w:rsidR="00B46B5C" w:rsidRPr="00EA0119">
        <w:rPr>
          <w:rFonts w:ascii="Arial" w:hAnsi="Arial"/>
          <w:b/>
          <w:spacing w:val="-3"/>
          <w:sz w:val="22"/>
          <w:lang w:val="es-ES_tradnl"/>
        </w:rPr>
        <w:t>I</w:t>
      </w:r>
      <w:r w:rsidR="00241764" w:rsidRPr="00EA0119">
        <w:rPr>
          <w:rFonts w:ascii="Arial" w:hAnsi="Arial"/>
          <w:b/>
          <w:spacing w:val="-3"/>
          <w:sz w:val="22"/>
          <w:lang w:val="es-ES_tradnl"/>
        </w:rPr>
        <w:t>I</w:t>
      </w:r>
      <w:r w:rsidR="00B46B5C" w:rsidRPr="00EA0119">
        <w:rPr>
          <w:rFonts w:ascii="Arial" w:hAnsi="Arial"/>
          <w:b/>
          <w:spacing w:val="-3"/>
          <w:sz w:val="22"/>
          <w:lang w:val="es-ES_tradnl"/>
        </w:rPr>
        <w:t>I.1)</w:t>
      </w:r>
      <w:r w:rsidR="00E16374" w:rsidRPr="00252C1F">
        <w:rPr>
          <w:rFonts w:ascii="Arial" w:hAnsi="Arial"/>
          <w:spacing w:val="-3"/>
          <w:sz w:val="22"/>
          <w:lang w:val="es-ES_tradnl"/>
        </w:rPr>
        <w:t xml:space="preserve">; </w:t>
      </w:r>
      <w:r w:rsidRPr="00252C1F">
        <w:rPr>
          <w:rFonts w:ascii="Arial" w:hAnsi="Arial"/>
          <w:spacing w:val="-3"/>
          <w:sz w:val="22"/>
          <w:lang w:val="es-ES_tradnl"/>
        </w:rPr>
        <w:t xml:space="preserve">así </w:t>
      </w:r>
      <w:r w:rsidR="00D95B03" w:rsidRPr="00252C1F">
        <w:rPr>
          <w:rFonts w:ascii="Arial" w:hAnsi="Arial"/>
          <w:spacing w:val="-3"/>
          <w:sz w:val="22"/>
          <w:lang w:val="es-ES_tradnl"/>
        </w:rPr>
        <w:t xml:space="preserve">como </w:t>
      </w:r>
      <w:r w:rsidR="00B46B5C" w:rsidRPr="00252C1F">
        <w:rPr>
          <w:rFonts w:ascii="Arial" w:hAnsi="Arial"/>
          <w:spacing w:val="-3"/>
          <w:sz w:val="22"/>
          <w:lang w:val="es-ES_tradnl"/>
        </w:rPr>
        <w:t>e</w:t>
      </w:r>
      <w:r w:rsidRPr="00252C1F">
        <w:rPr>
          <w:rFonts w:ascii="Arial" w:hAnsi="Arial"/>
          <w:spacing w:val="-3"/>
          <w:sz w:val="22"/>
          <w:lang w:val="es-ES_tradnl"/>
        </w:rPr>
        <w:t xml:space="preserve">n relación a la aplicación de las </w:t>
      </w:r>
      <w:r w:rsidR="00B27751" w:rsidRPr="00252C1F">
        <w:rPr>
          <w:rFonts w:ascii="Arial" w:hAnsi="Arial"/>
          <w:spacing w:val="-3"/>
          <w:sz w:val="22"/>
          <w:lang w:val="es-ES_tradnl"/>
        </w:rPr>
        <w:t>disposiciones</w:t>
      </w:r>
      <w:r w:rsidRPr="00252C1F">
        <w:rPr>
          <w:rFonts w:ascii="Arial" w:hAnsi="Arial"/>
          <w:spacing w:val="-3"/>
          <w:sz w:val="22"/>
          <w:lang w:val="es-ES_tradnl"/>
        </w:rPr>
        <w:t xml:space="preserve"> transitorias</w:t>
      </w:r>
      <w:r w:rsidR="00E16374" w:rsidRPr="00252C1F">
        <w:rPr>
          <w:rFonts w:ascii="Arial" w:hAnsi="Arial"/>
          <w:spacing w:val="-3"/>
          <w:sz w:val="22"/>
          <w:lang w:val="es-ES_tradnl"/>
        </w:rPr>
        <w:t xml:space="preserve"> de la</w:t>
      </w:r>
      <w:r w:rsidR="00D30D89" w:rsidRPr="00252C1F">
        <w:rPr>
          <w:rFonts w:ascii="Arial" w:hAnsi="Arial"/>
          <w:spacing w:val="-3"/>
          <w:sz w:val="22"/>
          <w:lang w:val="es-ES_tradnl"/>
        </w:rPr>
        <w:t xml:space="preserve"> </w:t>
      </w:r>
      <w:r w:rsidR="00E16374" w:rsidRPr="00252C1F">
        <w:rPr>
          <w:rFonts w:ascii="Arial" w:hAnsi="Arial"/>
          <w:spacing w:val="-3"/>
          <w:sz w:val="22"/>
          <w:lang w:val="es-ES_tradnl"/>
        </w:rPr>
        <w:t>Ley</w:t>
      </w:r>
      <w:r w:rsidR="00B46B5C" w:rsidRPr="00252C1F">
        <w:rPr>
          <w:rFonts w:ascii="Arial" w:hAnsi="Arial"/>
          <w:spacing w:val="-3"/>
          <w:sz w:val="22"/>
          <w:lang w:val="es-ES_tradnl"/>
        </w:rPr>
        <w:t xml:space="preserve"> </w:t>
      </w:r>
      <w:r w:rsidR="00D95B03" w:rsidRPr="00252C1F">
        <w:rPr>
          <w:rFonts w:ascii="Arial" w:hAnsi="Arial"/>
          <w:spacing w:val="-3"/>
          <w:sz w:val="22"/>
          <w:lang w:val="es-ES_tradnl"/>
        </w:rPr>
        <w:t xml:space="preserve">20.469 </w:t>
      </w:r>
      <w:r w:rsidR="00B46B5C" w:rsidRPr="00EA0119">
        <w:rPr>
          <w:rFonts w:ascii="Arial" w:hAnsi="Arial"/>
          <w:b/>
          <w:spacing w:val="-3"/>
          <w:sz w:val="22"/>
          <w:lang w:val="es-ES_tradnl"/>
        </w:rPr>
        <w:t>(</w:t>
      </w:r>
      <w:r w:rsidR="00D30D89" w:rsidRPr="00EA0119">
        <w:rPr>
          <w:rFonts w:ascii="Arial" w:hAnsi="Arial"/>
          <w:b/>
          <w:spacing w:val="-3"/>
          <w:sz w:val="22"/>
          <w:lang w:val="es-ES_tradnl"/>
        </w:rPr>
        <w:t>Capítulo</w:t>
      </w:r>
      <w:r w:rsidR="00D95B03" w:rsidRPr="00EA0119">
        <w:rPr>
          <w:rFonts w:ascii="Arial" w:hAnsi="Arial"/>
          <w:b/>
          <w:spacing w:val="-3"/>
          <w:sz w:val="22"/>
          <w:lang w:val="es-ES_tradnl"/>
        </w:rPr>
        <w:t xml:space="preserve"> </w:t>
      </w:r>
      <w:r w:rsidR="00241764" w:rsidRPr="00EA0119">
        <w:rPr>
          <w:rFonts w:ascii="Arial" w:hAnsi="Arial"/>
          <w:b/>
          <w:spacing w:val="-3"/>
          <w:sz w:val="22"/>
          <w:lang w:val="es-ES_tradnl"/>
        </w:rPr>
        <w:t>I</w:t>
      </w:r>
      <w:r w:rsidR="00B46B5C" w:rsidRPr="00EA0119">
        <w:rPr>
          <w:rFonts w:ascii="Arial" w:hAnsi="Arial"/>
          <w:b/>
          <w:spacing w:val="-3"/>
          <w:sz w:val="22"/>
          <w:lang w:val="es-ES_tradnl"/>
        </w:rPr>
        <w:t>II.2)</w:t>
      </w:r>
      <w:r w:rsidRPr="00252C1F">
        <w:rPr>
          <w:rFonts w:ascii="Arial" w:hAnsi="Arial"/>
          <w:spacing w:val="-3"/>
          <w:sz w:val="22"/>
          <w:lang w:val="es-ES_tradnl"/>
        </w:rPr>
        <w:t>.</w:t>
      </w:r>
      <w:r w:rsidR="00AE554C" w:rsidRPr="00252C1F">
        <w:rPr>
          <w:rFonts w:ascii="Arial" w:hAnsi="Arial"/>
          <w:spacing w:val="-3"/>
          <w:sz w:val="22"/>
          <w:lang w:val="es-ES_tradnl"/>
        </w:rPr>
        <w:t xml:space="preserve"> </w:t>
      </w:r>
    </w:p>
    <w:p w:rsidR="00E16374" w:rsidRPr="00252C1F" w:rsidRDefault="00E16374" w:rsidP="00D95B03">
      <w:pPr>
        <w:tabs>
          <w:tab w:val="left" w:pos="-284"/>
        </w:tabs>
        <w:suppressAutoHyphens/>
        <w:ind w:left="1134" w:hanging="424"/>
        <w:jc w:val="both"/>
        <w:rPr>
          <w:rFonts w:ascii="Arial" w:hAnsi="Arial" w:cs="Arial"/>
          <w:sz w:val="22"/>
        </w:rPr>
      </w:pPr>
    </w:p>
    <w:p w:rsidR="00596F98" w:rsidRPr="00252C1F" w:rsidRDefault="007435F1" w:rsidP="00D30D89">
      <w:pPr>
        <w:jc w:val="both"/>
        <w:rPr>
          <w:rFonts w:ascii="Arial" w:hAnsi="Arial" w:cs="Arial"/>
          <w:sz w:val="22"/>
        </w:rPr>
      </w:pPr>
      <w:r>
        <w:rPr>
          <w:rFonts w:ascii="Arial" w:hAnsi="Arial" w:cs="Arial"/>
          <w:sz w:val="22"/>
        </w:rPr>
        <w:t>E</w:t>
      </w:r>
      <w:r w:rsidR="00D30D89" w:rsidRPr="00252C1F">
        <w:rPr>
          <w:rFonts w:ascii="Arial" w:hAnsi="Arial" w:cs="Arial"/>
          <w:sz w:val="22"/>
        </w:rPr>
        <w:t>l</w:t>
      </w:r>
      <w:r w:rsidR="00596F98" w:rsidRPr="00252C1F">
        <w:rPr>
          <w:rFonts w:ascii="Arial" w:hAnsi="Arial" w:cs="Arial"/>
          <w:sz w:val="22"/>
        </w:rPr>
        <w:t xml:space="preserve"> texto íntegro de la</w:t>
      </w:r>
      <w:r w:rsidR="00D30D89" w:rsidRPr="00252C1F">
        <w:rPr>
          <w:rFonts w:ascii="Arial" w:hAnsi="Arial" w:cs="Arial"/>
          <w:sz w:val="22"/>
        </w:rPr>
        <w:t xml:space="preserve"> Ley 20.469</w:t>
      </w:r>
      <w:r w:rsidR="00596F98" w:rsidRPr="00252C1F">
        <w:rPr>
          <w:rFonts w:ascii="Arial" w:hAnsi="Arial" w:cs="Arial"/>
          <w:sz w:val="22"/>
        </w:rPr>
        <w:t>, se encuentra</w:t>
      </w:r>
      <w:r w:rsidR="00D30D89" w:rsidRPr="00252C1F">
        <w:rPr>
          <w:rFonts w:ascii="Arial" w:hAnsi="Arial" w:cs="Arial"/>
          <w:sz w:val="22"/>
        </w:rPr>
        <w:t xml:space="preserve"> disponible</w:t>
      </w:r>
      <w:r w:rsidR="00596F98" w:rsidRPr="00252C1F">
        <w:rPr>
          <w:rFonts w:ascii="Arial" w:hAnsi="Arial" w:cs="Arial"/>
          <w:sz w:val="22"/>
        </w:rPr>
        <w:t xml:space="preserve"> </w:t>
      </w:r>
      <w:r w:rsidR="00D30D89" w:rsidRPr="00252C1F">
        <w:rPr>
          <w:rFonts w:ascii="Arial" w:hAnsi="Arial" w:cs="Arial"/>
          <w:sz w:val="22"/>
        </w:rPr>
        <w:t>e</w:t>
      </w:r>
      <w:r w:rsidR="00596F98" w:rsidRPr="00252C1F">
        <w:rPr>
          <w:rFonts w:ascii="Arial" w:hAnsi="Arial" w:cs="Arial"/>
          <w:sz w:val="22"/>
        </w:rPr>
        <w:t>n la página web de</w:t>
      </w:r>
      <w:r w:rsidR="00D30D89" w:rsidRPr="00252C1F">
        <w:rPr>
          <w:rFonts w:ascii="Arial" w:hAnsi="Arial" w:cs="Arial"/>
          <w:sz w:val="22"/>
        </w:rPr>
        <w:t xml:space="preserve"> este </w:t>
      </w:r>
      <w:r w:rsidR="00596F98" w:rsidRPr="00252C1F">
        <w:rPr>
          <w:rFonts w:ascii="Arial" w:hAnsi="Arial" w:cs="Arial"/>
          <w:sz w:val="22"/>
        </w:rPr>
        <w:t>Servicio</w:t>
      </w:r>
      <w:r w:rsidR="0080036C" w:rsidRPr="00252C1F">
        <w:rPr>
          <w:rFonts w:ascii="Arial" w:hAnsi="Arial" w:cs="Arial"/>
          <w:sz w:val="22"/>
        </w:rPr>
        <w:t xml:space="preserve">, </w:t>
      </w:r>
      <w:hyperlink r:id="rId8" w:history="1">
        <w:r w:rsidR="00596F98" w:rsidRPr="00252C1F">
          <w:rPr>
            <w:rStyle w:val="Sangra2detindependienteCar"/>
            <w:rFonts w:cs="Arial"/>
            <w:sz w:val="22"/>
          </w:rPr>
          <w:t>www.sii.cl</w:t>
        </w:r>
      </w:hyperlink>
      <w:r w:rsidR="00596F98" w:rsidRPr="00252C1F">
        <w:rPr>
          <w:rFonts w:ascii="Arial" w:hAnsi="Arial" w:cs="Arial"/>
          <w:sz w:val="22"/>
        </w:rPr>
        <w:t>.</w:t>
      </w:r>
    </w:p>
    <w:p w:rsidR="00596F98" w:rsidRDefault="00596F98" w:rsidP="00596F98">
      <w:pPr>
        <w:ind w:left="567"/>
        <w:jc w:val="both"/>
        <w:rPr>
          <w:rFonts w:ascii="Arial" w:hAnsi="Arial" w:cs="Arial"/>
          <w:sz w:val="22"/>
        </w:rPr>
      </w:pPr>
    </w:p>
    <w:p w:rsidR="00315326" w:rsidRPr="00252C1F" w:rsidRDefault="00315326" w:rsidP="00596F98">
      <w:pPr>
        <w:ind w:left="567"/>
        <w:jc w:val="both"/>
        <w:rPr>
          <w:rFonts w:ascii="Arial" w:hAnsi="Arial" w:cs="Arial"/>
          <w:sz w:val="22"/>
        </w:rPr>
      </w:pPr>
    </w:p>
    <w:p w:rsidR="00315326" w:rsidRDefault="00315326" w:rsidP="00483E3B">
      <w:pPr>
        <w:tabs>
          <w:tab w:val="left" w:pos="-284"/>
        </w:tabs>
        <w:suppressAutoHyphens/>
        <w:ind w:left="567" w:hanging="567"/>
        <w:jc w:val="both"/>
        <w:rPr>
          <w:rFonts w:ascii="Arial" w:hAnsi="Arial"/>
          <w:b/>
          <w:spacing w:val="-3"/>
          <w:sz w:val="22"/>
          <w:lang w:val="es-ES_tradnl"/>
        </w:rPr>
      </w:pPr>
    </w:p>
    <w:p w:rsidR="00315326" w:rsidRDefault="00315326" w:rsidP="00483E3B">
      <w:pPr>
        <w:tabs>
          <w:tab w:val="left" w:pos="-284"/>
        </w:tabs>
        <w:suppressAutoHyphens/>
        <w:ind w:left="567" w:hanging="567"/>
        <w:jc w:val="both"/>
        <w:rPr>
          <w:rFonts w:ascii="Arial" w:hAnsi="Arial"/>
          <w:b/>
          <w:spacing w:val="-3"/>
          <w:sz w:val="22"/>
          <w:lang w:val="es-ES_tradnl"/>
        </w:rPr>
      </w:pPr>
    </w:p>
    <w:p w:rsidR="00241764" w:rsidRDefault="00596F98" w:rsidP="00483E3B">
      <w:pPr>
        <w:tabs>
          <w:tab w:val="left" w:pos="-284"/>
        </w:tabs>
        <w:suppressAutoHyphens/>
        <w:ind w:left="567" w:hanging="567"/>
        <w:jc w:val="both"/>
        <w:rPr>
          <w:rFonts w:ascii="Arial" w:hAnsi="Arial"/>
          <w:b/>
          <w:spacing w:val="-3"/>
          <w:sz w:val="22"/>
          <w:lang w:val="es-ES_tradnl"/>
        </w:rPr>
      </w:pPr>
      <w:r w:rsidRPr="00252C1F">
        <w:rPr>
          <w:rFonts w:ascii="Arial" w:hAnsi="Arial"/>
          <w:b/>
          <w:spacing w:val="-3"/>
          <w:sz w:val="22"/>
          <w:lang w:val="es-ES_tradnl"/>
        </w:rPr>
        <w:t xml:space="preserve">II.- </w:t>
      </w:r>
      <w:r w:rsidRPr="00252C1F">
        <w:rPr>
          <w:rFonts w:ascii="Arial" w:hAnsi="Arial"/>
          <w:b/>
          <w:spacing w:val="-3"/>
          <w:sz w:val="22"/>
          <w:lang w:val="es-ES_tradnl"/>
        </w:rPr>
        <w:tab/>
      </w:r>
      <w:r w:rsidR="00241764" w:rsidRPr="00252C1F">
        <w:rPr>
          <w:rFonts w:ascii="Arial" w:hAnsi="Arial"/>
          <w:b/>
          <w:spacing w:val="-3"/>
          <w:sz w:val="22"/>
          <w:lang w:val="es-ES_tradnl"/>
        </w:rPr>
        <w:t>ABREVIATURAS.</w:t>
      </w:r>
    </w:p>
    <w:p w:rsidR="00391EA6" w:rsidRDefault="00391EA6" w:rsidP="00483E3B">
      <w:pPr>
        <w:tabs>
          <w:tab w:val="left" w:pos="-284"/>
        </w:tabs>
        <w:suppressAutoHyphens/>
        <w:ind w:left="567" w:hanging="567"/>
        <w:jc w:val="both"/>
        <w:rPr>
          <w:rFonts w:ascii="Arial" w:hAnsi="Arial"/>
          <w:b/>
          <w:spacing w:val="-3"/>
          <w:sz w:val="22"/>
          <w:lang w:val="es-ES_tradnl"/>
        </w:rPr>
      </w:pPr>
    </w:p>
    <w:p w:rsidR="00391EA6" w:rsidRPr="00391EA6" w:rsidRDefault="00391EA6" w:rsidP="00483E3B">
      <w:pPr>
        <w:tabs>
          <w:tab w:val="left" w:pos="-284"/>
        </w:tabs>
        <w:suppressAutoHyphens/>
        <w:ind w:left="567" w:hanging="567"/>
        <w:jc w:val="both"/>
        <w:rPr>
          <w:rFonts w:ascii="Arial" w:hAnsi="Arial"/>
          <w:spacing w:val="-3"/>
          <w:sz w:val="22"/>
          <w:lang w:val="es-ES_tradnl"/>
        </w:rPr>
      </w:pPr>
      <w:r>
        <w:rPr>
          <w:rFonts w:ascii="Arial" w:hAnsi="Arial"/>
          <w:spacing w:val="-3"/>
          <w:sz w:val="22"/>
          <w:lang w:val="es-ES_tradnl"/>
        </w:rPr>
        <w:t>A continuación, se incluye un listado de las abreviaturas utilizadas en la presente Circular:</w:t>
      </w:r>
    </w:p>
    <w:p w:rsidR="00241764" w:rsidRPr="00252C1F" w:rsidRDefault="00241764" w:rsidP="00483E3B">
      <w:pPr>
        <w:tabs>
          <w:tab w:val="left" w:pos="-284"/>
        </w:tabs>
        <w:suppressAutoHyphens/>
        <w:ind w:left="567" w:hanging="567"/>
        <w:jc w:val="both"/>
        <w:rPr>
          <w:rFonts w:ascii="Arial" w:hAnsi="Arial"/>
          <w:b/>
          <w:spacing w:val="-3"/>
          <w:sz w:val="22"/>
          <w:lang w:val="es-ES_tradnl"/>
        </w:rPr>
      </w:pPr>
    </w:p>
    <w:p w:rsidR="00E1144C" w:rsidRPr="00252C1F" w:rsidRDefault="00E1144C" w:rsidP="003D1715">
      <w:pPr>
        <w:numPr>
          <w:ilvl w:val="0"/>
          <w:numId w:val="14"/>
        </w:numPr>
        <w:tabs>
          <w:tab w:val="left" w:pos="-284"/>
          <w:tab w:val="left" w:pos="284"/>
        </w:tabs>
        <w:suppressAutoHyphens/>
        <w:ind w:left="0" w:firstLine="0"/>
        <w:jc w:val="both"/>
        <w:rPr>
          <w:rFonts w:ascii="Arial" w:hAnsi="Arial"/>
          <w:spacing w:val="-3"/>
          <w:sz w:val="22"/>
          <w:lang w:val="es-ES_tradnl"/>
        </w:rPr>
      </w:pPr>
      <w:r w:rsidRPr="00252C1F">
        <w:rPr>
          <w:rFonts w:ascii="Arial" w:hAnsi="Arial"/>
          <w:spacing w:val="-3"/>
          <w:sz w:val="22"/>
          <w:lang w:val="es-ES_tradnl"/>
        </w:rPr>
        <w:t>AC: Año calendario o comercial.</w:t>
      </w:r>
    </w:p>
    <w:p w:rsidR="00E1144C" w:rsidRPr="00252C1F" w:rsidRDefault="00E1144C" w:rsidP="003D1715">
      <w:pPr>
        <w:tabs>
          <w:tab w:val="left" w:pos="-284"/>
          <w:tab w:val="left" w:pos="284"/>
        </w:tabs>
        <w:suppressAutoHyphens/>
        <w:jc w:val="both"/>
        <w:rPr>
          <w:rFonts w:ascii="Arial" w:hAnsi="Arial"/>
          <w:spacing w:val="-3"/>
          <w:sz w:val="22"/>
          <w:lang w:val="es-ES_tradnl"/>
        </w:rPr>
      </w:pPr>
    </w:p>
    <w:p w:rsidR="00E1144C" w:rsidRPr="00252C1F" w:rsidRDefault="00E1144C" w:rsidP="003D1715">
      <w:pPr>
        <w:numPr>
          <w:ilvl w:val="0"/>
          <w:numId w:val="14"/>
        </w:numPr>
        <w:tabs>
          <w:tab w:val="left" w:pos="-284"/>
          <w:tab w:val="left" w:pos="284"/>
        </w:tabs>
        <w:suppressAutoHyphens/>
        <w:ind w:left="0" w:firstLine="0"/>
        <w:jc w:val="both"/>
        <w:rPr>
          <w:rFonts w:ascii="Arial" w:hAnsi="Arial"/>
          <w:spacing w:val="-3"/>
          <w:sz w:val="22"/>
          <w:lang w:val="es-ES_tradnl"/>
        </w:rPr>
      </w:pPr>
      <w:r w:rsidRPr="00252C1F">
        <w:rPr>
          <w:rFonts w:ascii="Arial" w:hAnsi="Arial"/>
          <w:spacing w:val="-3"/>
          <w:sz w:val="22"/>
          <w:lang w:val="es-ES_tradnl"/>
        </w:rPr>
        <w:t>AT: Año Tributario.</w:t>
      </w:r>
    </w:p>
    <w:p w:rsidR="00E1144C" w:rsidRPr="00252C1F" w:rsidRDefault="00E1144C" w:rsidP="003D1715">
      <w:pPr>
        <w:tabs>
          <w:tab w:val="left" w:pos="-284"/>
          <w:tab w:val="left" w:pos="284"/>
        </w:tabs>
        <w:suppressAutoHyphens/>
        <w:jc w:val="both"/>
        <w:rPr>
          <w:rFonts w:ascii="Arial" w:hAnsi="Arial"/>
          <w:spacing w:val="-3"/>
          <w:sz w:val="22"/>
          <w:lang w:val="es-ES_tradnl"/>
        </w:rPr>
      </w:pPr>
    </w:p>
    <w:p w:rsidR="00533202" w:rsidRPr="00252C1F" w:rsidRDefault="00533202" w:rsidP="003D1715">
      <w:pPr>
        <w:numPr>
          <w:ilvl w:val="0"/>
          <w:numId w:val="14"/>
        </w:numPr>
        <w:tabs>
          <w:tab w:val="left" w:pos="-284"/>
          <w:tab w:val="left" w:pos="284"/>
        </w:tabs>
        <w:suppressAutoHyphens/>
        <w:ind w:left="0" w:firstLine="0"/>
        <w:jc w:val="both"/>
        <w:rPr>
          <w:rFonts w:ascii="Arial" w:hAnsi="Arial"/>
          <w:spacing w:val="-3"/>
          <w:sz w:val="22"/>
          <w:lang w:val="es-ES_tradnl"/>
        </w:rPr>
      </w:pPr>
      <w:r w:rsidRPr="00252C1F">
        <w:rPr>
          <w:rFonts w:ascii="Arial" w:hAnsi="Arial"/>
          <w:spacing w:val="-3"/>
          <w:sz w:val="22"/>
          <w:lang w:val="es-ES_tradnl"/>
        </w:rPr>
        <w:t>CIE: Comité de Inversiones Extranjeras.</w:t>
      </w:r>
    </w:p>
    <w:p w:rsidR="00533202" w:rsidRPr="00252C1F" w:rsidRDefault="00533202" w:rsidP="003D1715">
      <w:pPr>
        <w:pStyle w:val="Prrafodelista"/>
        <w:tabs>
          <w:tab w:val="left" w:pos="284"/>
        </w:tabs>
        <w:ind w:left="0"/>
        <w:rPr>
          <w:rFonts w:ascii="Arial" w:hAnsi="Arial"/>
          <w:spacing w:val="-3"/>
          <w:sz w:val="22"/>
          <w:lang w:val="es-ES_tradnl"/>
        </w:rPr>
      </w:pPr>
    </w:p>
    <w:p w:rsidR="00A9008D" w:rsidRPr="00252C1F" w:rsidRDefault="00A9008D" w:rsidP="003D1715">
      <w:pPr>
        <w:numPr>
          <w:ilvl w:val="0"/>
          <w:numId w:val="14"/>
        </w:numPr>
        <w:tabs>
          <w:tab w:val="left" w:pos="-284"/>
          <w:tab w:val="left" w:pos="284"/>
        </w:tabs>
        <w:suppressAutoHyphens/>
        <w:ind w:left="0" w:firstLine="0"/>
        <w:jc w:val="both"/>
        <w:rPr>
          <w:rFonts w:ascii="Arial" w:hAnsi="Arial"/>
          <w:spacing w:val="-3"/>
          <w:sz w:val="22"/>
          <w:lang w:val="es-ES_tradnl"/>
        </w:rPr>
      </w:pPr>
      <w:r w:rsidRPr="00252C1F">
        <w:rPr>
          <w:rFonts w:ascii="Arial" w:hAnsi="Arial"/>
          <w:spacing w:val="-3"/>
          <w:sz w:val="22"/>
          <w:lang w:val="es-ES_tradnl"/>
        </w:rPr>
        <w:t>COCHILCO: Comisión Chilena del Cobre.</w:t>
      </w:r>
    </w:p>
    <w:p w:rsidR="00A9008D" w:rsidRPr="00252C1F" w:rsidRDefault="00A9008D" w:rsidP="003D1715">
      <w:pPr>
        <w:tabs>
          <w:tab w:val="left" w:pos="-284"/>
          <w:tab w:val="left" w:pos="284"/>
        </w:tabs>
        <w:suppressAutoHyphens/>
        <w:jc w:val="both"/>
        <w:rPr>
          <w:rFonts w:ascii="Arial" w:hAnsi="Arial"/>
          <w:spacing w:val="-3"/>
          <w:sz w:val="22"/>
          <w:lang w:val="es-ES_tradnl"/>
        </w:rPr>
      </w:pPr>
    </w:p>
    <w:p w:rsidR="004833B3" w:rsidRPr="00252C1F" w:rsidRDefault="004833B3" w:rsidP="003D1715">
      <w:pPr>
        <w:numPr>
          <w:ilvl w:val="0"/>
          <w:numId w:val="14"/>
        </w:numPr>
        <w:tabs>
          <w:tab w:val="left" w:pos="-284"/>
          <w:tab w:val="left" w:pos="284"/>
        </w:tabs>
        <w:suppressAutoHyphens/>
        <w:ind w:left="0" w:firstLine="0"/>
        <w:jc w:val="both"/>
        <w:rPr>
          <w:rFonts w:ascii="Arial" w:hAnsi="Arial"/>
          <w:spacing w:val="-3"/>
          <w:sz w:val="22"/>
          <w:lang w:val="es-ES_tradnl"/>
        </w:rPr>
      </w:pPr>
      <w:r w:rsidRPr="00252C1F">
        <w:rPr>
          <w:rFonts w:ascii="Arial" w:hAnsi="Arial"/>
          <w:spacing w:val="-3"/>
          <w:sz w:val="22"/>
          <w:lang w:val="es-ES_tradnl"/>
        </w:rPr>
        <w:t>DL: Decreto Ley.</w:t>
      </w:r>
    </w:p>
    <w:p w:rsidR="00A323B1" w:rsidRPr="00252C1F" w:rsidRDefault="00A323B1" w:rsidP="003D1715">
      <w:pPr>
        <w:tabs>
          <w:tab w:val="left" w:pos="-284"/>
          <w:tab w:val="left" w:pos="284"/>
        </w:tabs>
        <w:suppressAutoHyphens/>
        <w:jc w:val="both"/>
        <w:rPr>
          <w:rFonts w:ascii="Arial" w:hAnsi="Arial"/>
          <w:spacing w:val="-3"/>
          <w:sz w:val="22"/>
          <w:lang w:val="es-ES_tradnl"/>
        </w:rPr>
      </w:pPr>
    </w:p>
    <w:p w:rsidR="00A323B1" w:rsidRPr="00252C1F" w:rsidRDefault="009567D7" w:rsidP="003D1715">
      <w:pPr>
        <w:numPr>
          <w:ilvl w:val="0"/>
          <w:numId w:val="14"/>
        </w:numPr>
        <w:tabs>
          <w:tab w:val="left" w:pos="-284"/>
          <w:tab w:val="left" w:pos="284"/>
        </w:tabs>
        <w:suppressAutoHyphens/>
        <w:ind w:left="0" w:firstLine="0"/>
        <w:jc w:val="both"/>
        <w:rPr>
          <w:rFonts w:ascii="Arial" w:hAnsi="Arial"/>
          <w:spacing w:val="-3"/>
          <w:sz w:val="22"/>
          <w:lang w:val="es-ES_tradnl"/>
        </w:rPr>
      </w:pPr>
      <w:r w:rsidRPr="00252C1F">
        <w:rPr>
          <w:rFonts w:ascii="Arial" w:hAnsi="Arial"/>
          <w:spacing w:val="-3"/>
          <w:sz w:val="22"/>
          <w:lang w:val="es-ES_tradnl"/>
        </w:rPr>
        <w:t>EM</w:t>
      </w:r>
      <w:r w:rsidR="00A323B1" w:rsidRPr="00252C1F">
        <w:rPr>
          <w:rFonts w:ascii="Arial" w:hAnsi="Arial"/>
          <w:spacing w:val="-3"/>
          <w:sz w:val="22"/>
          <w:lang w:val="es-ES_tradnl"/>
        </w:rPr>
        <w:t>: Explotador</w:t>
      </w:r>
      <w:r w:rsidR="00E6365A" w:rsidRPr="00252C1F">
        <w:rPr>
          <w:rFonts w:ascii="Arial" w:hAnsi="Arial"/>
          <w:spacing w:val="-3"/>
          <w:sz w:val="22"/>
          <w:lang w:val="es-ES_tradnl"/>
        </w:rPr>
        <w:t xml:space="preserve"> (es) </w:t>
      </w:r>
      <w:r w:rsidR="00A323B1" w:rsidRPr="00252C1F">
        <w:rPr>
          <w:rFonts w:ascii="Arial" w:hAnsi="Arial"/>
          <w:spacing w:val="-3"/>
          <w:sz w:val="22"/>
          <w:lang w:val="es-ES_tradnl"/>
        </w:rPr>
        <w:t xml:space="preserve"> Minero</w:t>
      </w:r>
      <w:r w:rsidR="00E6365A" w:rsidRPr="00252C1F">
        <w:rPr>
          <w:rFonts w:ascii="Arial" w:hAnsi="Arial"/>
          <w:spacing w:val="-3"/>
          <w:sz w:val="22"/>
          <w:lang w:val="es-ES_tradnl"/>
        </w:rPr>
        <w:t xml:space="preserve"> (s)</w:t>
      </w:r>
      <w:r w:rsidR="00A323B1" w:rsidRPr="00252C1F">
        <w:rPr>
          <w:rFonts w:ascii="Arial" w:hAnsi="Arial"/>
          <w:spacing w:val="-3"/>
          <w:sz w:val="22"/>
          <w:lang w:val="es-ES_tradnl"/>
        </w:rPr>
        <w:t>.</w:t>
      </w:r>
    </w:p>
    <w:p w:rsidR="004833B3" w:rsidRPr="00252C1F" w:rsidRDefault="004833B3" w:rsidP="003D1715">
      <w:pPr>
        <w:tabs>
          <w:tab w:val="left" w:pos="-284"/>
          <w:tab w:val="left" w:pos="284"/>
        </w:tabs>
        <w:suppressAutoHyphens/>
        <w:jc w:val="both"/>
        <w:rPr>
          <w:rFonts w:ascii="Arial" w:hAnsi="Arial"/>
          <w:spacing w:val="-3"/>
          <w:sz w:val="22"/>
          <w:lang w:val="es-ES_tradnl"/>
        </w:rPr>
      </w:pPr>
    </w:p>
    <w:p w:rsidR="00241764" w:rsidRPr="00252C1F" w:rsidRDefault="006047E4" w:rsidP="003D1715">
      <w:pPr>
        <w:numPr>
          <w:ilvl w:val="0"/>
          <w:numId w:val="14"/>
        </w:numPr>
        <w:tabs>
          <w:tab w:val="left" w:pos="-284"/>
          <w:tab w:val="left" w:pos="284"/>
        </w:tabs>
        <w:suppressAutoHyphens/>
        <w:ind w:left="0" w:firstLine="0"/>
        <w:jc w:val="both"/>
        <w:rPr>
          <w:rFonts w:ascii="Arial" w:hAnsi="Arial"/>
          <w:spacing w:val="-3"/>
          <w:sz w:val="22"/>
          <w:lang w:val="es-ES_tradnl"/>
        </w:rPr>
      </w:pPr>
      <w:r w:rsidRPr="00252C1F">
        <w:rPr>
          <w:rFonts w:ascii="Arial" w:hAnsi="Arial"/>
          <w:spacing w:val="-3"/>
          <w:sz w:val="22"/>
          <w:lang w:val="es-ES_tradnl"/>
        </w:rPr>
        <w:t xml:space="preserve">IEM: Impuesto Específico a la Renta </w:t>
      </w:r>
      <w:r w:rsidR="000A06D5" w:rsidRPr="00252C1F">
        <w:rPr>
          <w:rFonts w:ascii="Arial" w:hAnsi="Arial"/>
          <w:spacing w:val="-3"/>
          <w:sz w:val="22"/>
          <w:lang w:val="es-ES_tradnl"/>
        </w:rPr>
        <w:t xml:space="preserve">Imponible </w:t>
      </w:r>
      <w:r w:rsidRPr="00252C1F">
        <w:rPr>
          <w:rFonts w:ascii="Arial" w:hAnsi="Arial"/>
          <w:spacing w:val="-3"/>
          <w:sz w:val="22"/>
          <w:lang w:val="es-ES_tradnl"/>
        </w:rPr>
        <w:t>Operacional de la Actividad Minera</w:t>
      </w:r>
      <w:r w:rsidR="00DA1218" w:rsidRPr="00252C1F">
        <w:rPr>
          <w:rFonts w:ascii="Arial" w:hAnsi="Arial"/>
          <w:spacing w:val="-3"/>
          <w:sz w:val="22"/>
          <w:lang w:val="es-ES_tradnl"/>
        </w:rPr>
        <w:t xml:space="preserve"> obtenida por un Explotador Minero</w:t>
      </w:r>
      <w:r w:rsidRPr="00252C1F">
        <w:rPr>
          <w:rFonts w:ascii="Arial" w:hAnsi="Arial"/>
          <w:spacing w:val="-3"/>
          <w:sz w:val="22"/>
          <w:lang w:val="es-ES_tradnl"/>
        </w:rPr>
        <w:t>.</w:t>
      </w:r>
    </w:p>
    <w:p w:rsidR="009567D7" w:rsidRPr="00252C1F" w:rsidRDefault="009567D7" w:rsidP="003D1715">
      <w:pPr>
        <w:pStyle w:val="Prrafodelista"/>
        <w:tabs>
          <w:tab w:val="left" w:pos="284"/>
        </w:tabs>
        <w:ind w:left="0"/>
        <w:rPr>
          <w:rFonts w:ascii="Arial" w:hAnsi="Arial"/>
          <w:spacing w:val="-3"/>
          <w:sz w:val="22"/>
          <w:lang w:val="es-ES_tradnl"/>
        </w:rPr>
      </w:pPr>
    </w:p>
    <w:p w:rsidR="009567D7" w:rsidRPr="00252C1F" w:rsidRDefault="009567D7" w:rsidP="003D1715">
      <w:pPr>
        <w:numPr>
          <w:ilvl w:val="0"/>
          <w:numId w:val="14"/>
        </w:numPr>
        <w:tabs>
          <w:tab w:val="left" w:pos="-284"/>
          <w:tab w:val="left" w:pos="284"/>
        </w:tabs>
        <w:suppressAutoHyphens/>
        <w:ind w:left="0" w:firstLine="0"/>
        <w:jc w:val="both"/>
        <w:rPr>
          <w:rFonts w:ascii="Arial" w:hAnsi="Arial"/>
          <w:spacing w:val="-3"/>
          <w:sz w:val="22"/>
          <w:lang w:val="es-ES_tradnl"/>
        </w:rPr>
      </w:pPr>
      <w:r w:rsidRPr="00252C1F">
        <w:rPr>
          <w:rFonts w:ascii="Arial" w:hAnsi="Arial"/>
          <w:spacing w:val="-3"/>
          <w:sz w:val="22"/>
          <w:lang w:val="es-ES_tradnl"/>
        </w:rPr>
        <w:t>IOM: Ingresos Operacionales Mineros.</w:t>
      </w:r>
    </w:p>
    <w:p w:rsidR="006047E4" w:rsidRPr="00252C1F" w:rsidRDefault="006047E4" w:rsidP="003D1715">
      <w:pPr>
        <w:tabs>
          <w:tab w:val="left" w:pos="-284"/>
          <w:tab w:val="left" w:pos="284"/>
        </w:tabs>
        <w:suppressAutoHyphens/>
        <w:jc w:val="both"/>
        <w:rPr>
          <w:rFonts w:ascii="Arial" w:hAnsi="Arial"/>
          <w:spacing w:val="-3"/>
          <w:sz w:val="22"/>
          <w:lang w:val="es-ES_tradnl"/>
        </w:rPr>
      </w:pPr>
    </w:p>
    <w:p w:rsidR="006047E4" w:rsidRPr="00252C1F" w:rsidRDefault="006047E4" w:rsidP="003D1715">
      <w:pPr>
        <w:numPr>
          <w:ilvl w:val="0"/>
          <w:numId w:val="14"/>
        </w:numPr>
        <w:tabs>
          <w:tab w:val="left" w:pos="-284"/>
          <w:tab w:val="left" w:pos="284"/>
        </w:tabs>
        <w:suppressAutoHyphens/>
        <w:ind w:left="0" w:firstLine="0"/>
        <w:jc w:val="both"/>
        <w:rPr>
          <w:rFonts w:ascii="Arial" w:hAnsi="Arial"/>
          <w:spacing w:val="-3"/>
          <w:sz w:val="22"/>
          <w:lang w:val="es-ES_tradnl"/>
        </w:rPr>
      </w:pPr>
      <w:r w:rsidRPr="00252C1F">
        <w:rPr>
          <w:rFonts w:ascii="Arial" w:hAnsi="Arial"/>
          <w:spacing w:val="-3"/>
          <w:sz w:val="22"/>
          <w:lang w:val="es-ES_tradnl"/>
        </w:rPr>
        <w:t>MOM: Margen Operacional Minero.</w:t>
      </w:r>
    </w:p>
    <w:p w:rsidR="006047E4" w:rsidRPr="00252C1F" w:rsidRDefault="006047E4" w:rsidP="003D1715">
      <w:pPr>
        <w:pStyle w:val="Prrafodelista"/>
        <w:tabs>
          <w:tab w:val="left" w:pos="284"/>
        </w:tabs>
        <w:ind w:left="0"/>
        <w:rPr>
          <w:rFonts w:ascii="Arial" w:hAnsi="Arial"/>
          <w:spacing w:val="-3"/>
          <w:sz w:val="22"/>
          <w:lang w:val="es-ES_tradnl"/>
        </w:rPr>
      </w:pPr>
    </w:p>
    <w:p w:rsidR="006047E4" w:rsidRPr="00252C1F" w:rsidRDefault="006047E4" w:rsidP="003D1715">
      <w:pPr>
        <w:numPr>
          <w:ilvl w:val="0"/>
          <w:numId w:val="14"/>
        </w:numPr>
        <w:tabs>
          <w:tab w:val="left" w:pos="-284"/>
          <w:tab w:val="left" w:pos="284"/>
        </w:tabs>
        <w:suppressAutoHyphens/>
        <w:ind w:left="0" w:firstLine="0"/>
        <w:jc w:val="both"/>
        <w:rPr>
          <w:rFonts w:ascii="Arial" w:hAnsi="Arial"/>
          <w:spacing w:val="-3"/>
          <w:sz w:val="22"/>
          <w:lang w:val="es-ES_tradnl"/>
        </w:rPr>
      </w:pPr>
      <w:r w:rsidRPr="00252C1F">
        <w:rPr>
          <w:rFonts w:ascii="Arial" w:hAnsi="Arial"/>
          <w:spacing w:val="-3"/>
          <w:sz w:val="22"/>
          <w:lang w:val="es-ES_tradnl"/>
        </w:rPr>
        <w:t>LIR: Ley sobre Impuesto a la Renta, contenida en el Artículo 1°, del DL 824, de 1974.</w:t>
      </w:r>
    </w:p>
    <w:p w:rsidR="006047E4" w:rsidRPr="00252C1F" w:rsidRDefault="006047E4" w:rsidP="003D1715">
      <w:pPr>
        <w:tabs>
          <w:tab w:val="left" w:pos="-284"/>
          <w:tab w:val="left" w:pos="284"/>
        </w:tabs>
        <w:suppressAutoHyphens/>
        <w:jc w:val="both"/>
        <w:rPr>
          <w:rFonts w:ascii="Arial" w:hAnsi="Arial"/>
          <w:spacing w:val="-3"/>
          <w:sz w:val="22"/>
          <w:lang w:val="es-ES_tradnl"/>
        </w:rPr>
      </w:pPr>
    </w:p>
    <w:p w:rsidR="005D6ABB" w:rsidRPr="00252C1F" w:rsidRDefault="005A65A7" w:rsidP="003D1715">
      <w:pPr>
        <w:numPr>
          <w:ilvl w:val="0"/>
          <w:numId w:val="14"/>
        </w:numPr>
        <w:tabs>
          <w:tab w:val="left" w:pos="-284"/>
          <w:tab w:val="left" w:pos="284"/>
        </w:tabs>
        <w:suppressAutoHyphens/>
        <w:ind w:left="0" w:firstLine="0"/>
        <w:jc w:val="both"/>
        <w:rPr>
          <w:rFonts w:ascii="Arial" w:hAnsi="Arial"/>
          <w:spacing w:val="-3"/>
          <w:sz w:val="22"/>
          <w:lang w:val="es-ES_tradnl"/>
        </w:rPr>
      </w:pPr>
      <w:r>
        <w:rPr>
          <w:rFonts w:ascii="Arial" w:hAnsi="Arial"/>
          <w:spacing w:val="-3"/>
          <w:sz w:val="22"/>
          <w:lang w:val="es-ES_tradnl"/>
        </w:rPr>
        <w:t>PM: Producto Minero.</w:t>
      </w:r>
    </w:p>
    <w:p w:rsidR="005D6ABB" w:rsidRPr="00252C1F" w:rsidRDefault="005D6ABB" w:rsidP="003D1715">
      <w:pPr>
        <w:pStyle w:val="Prrafodelista"/>
        <w:tabs>
          <w:tab w:val="left" w:pos="284"/>
        </w:tabs>
        <w:ind w:left="0"/>
        <w:rPr>
          <w:rFonts w:ascii="Arial" w:hAnsi="Arial"/>
          <w:spacing w:val="-3"/>
          <w:sz w:val="22"/>
          <w:lang w:val="es-ES_tradnl"/>
        </w:rPr>
      </w:pPr>
    </w:p>
    <w:p w:rsidR="006047E4" w:rsidRPr="00252C1F" w:rsidRDefault="006047E4" w:rsidP="003D1715">
      <w:pPr>
        <w:numPr>
          <w:ilvl w:val="0"/>
          <w:numId w:val="14"/>
        </w:numPr>
        <w:tabs>
          <w:tab w:val="left" w:pos="-284"/>
          <w:tab w:val="left" w:pos="284"/>
        </w:tabs>
        <w:suppressAutoHyphens/>
        <w:ind w:left="0" w:firstLine="0"/>
        <w:jc w:val="both"/>
        <w:rPr>
          <w:rFonts w:ascii="Arial" w:hAnsi="Arial"/>
          <w:spacing w:val="-3"/>
          <w:sz w:val="22"/>
          <w:lang w:val="es-ES_tradnl"/>
        </w:rPr>
      </w:pPr>
      <w:r w:rsidRPr="00252C1F">
        <w:rPr>
          <w:rFonts w:ascii="Arial" w:hAnsi="Arial"/>
          <w:spacing w:val="-3"/>
          <w:sz w:val="22"/>
          <w:lang w:val="es-ES_tradnl"/>
        </w:rPr>
        <w:t>R</w:t>
      </w:r>
      <w:r w:rsidR="000A06D5" w:rsidRPr="00252C1F">
        <w:rPr>
          <w:rFonts w:ascii="Arial" w:hAnsi="Arial"/>
          <w:spacing w:val="-3"/>
          <w:sz w:val="22"/>
          <w:lang w:val="es-ES_tradnl"/>
        </w:rPr>
        <w:t>I</w:t>
      </w:r>
      <w:r w:rsidRPr="00252C1F">
        <w:rPr>
          <w:rFonts w:ascii="Arial" w:hAnsi="Arial"/>
          <w:spacing w:val="-3"/>
          <w:sz w:val="22"/>
          <w:lang w:val="es-ES_tradnl"/>
        </w:rPr>
        <w:t xml:space="preserve">OM: Renta </w:t>
      </w:r>
      <w:r w:rsidR="000A06D5" w:rsidRPr="00252C1F">
        <w:rPr>
          <w:rFonts w:ascii="Arial" w:hAnsi="Arial"/>
          <w:spacing w:val="-3"/>
          <w:sz w:val="22"/>
          <w:lang w:val="es-ES_tradnl"/>
        </w:rPr>
        <w:t xml:space="preserve">Imponible </w:t>
      </w:r>
      <w:r w:rsidRPr="00252C1F">
        <w:rPr>
          <w:rFonts w:ascii="Arial" w:hAnsi="Arial"/>
          <w:spacing w:val="-3"/>
          <w:sz w:val="22"/>
          <w:lang w:val="es-ES_tradnl"/>
        </w:rPr>
        <w:t>Operacional Minera.</w:t>
      </w:r>
    </w:p>
    <w:p w:rsidR="00141699" w:rsidRPr="00252C1F" w:rsidRDefault="00141699" w:rsidP="003D1715">
      <w:pPr>
        <w:pStyle w:val="Prrafodelista"/>
        <w:tabs>
          <w:tab w:val="left" w:pos="284"/>
        </w:tabs>
        <w:ind w:left="0"/>
        <w:rPr>
          <w:rFonts w:ascii="Arial" w:hAnsi="Arial"/>
          <w:spacing w:val="-3"/>
          <w:sz w:val="22"/>
          <w:lang w:val="es-ES_tradnl"/>
        </w:rPr>
      </w:pPr>
    </w:p>
    <w:p w:rsidR="00141699" w:rsidRDefault="00141699" w:rsidP="003D1715">
      <w:pPr>
        <w:numPr>
          <w:ilvl w:val="0"/>
          <w:numId w:val="14"/>
        </w:numPr>
        <w:tabs>
          <w:tab w:val="left" w:pos="-284"/>
          <w:tab w:val="left" w:pos="284"/>
        </w:tabs>
        <w:suppressAutoHyphens/>
        <w:ind w:left="0" w:firstLine="0"/>
        <w:jc w:val="both"/>
        <w:rPr>
          <w:rFonts w:ascii="Arial" w:hAnsi="Arial"/>
          <w:spacing w:val="-3"/>
          <w:sz w:val="22"/>
          <w:lang w:val="es-ES_tradnl"/>
        </w:rPr>
      </w:pPr>
      <w:r w:rsidRPr="00252C1F">
        <w:rPr>
          <w:rFonts w:ascii="Arial" w:hAnsi="Arial"/>
          <w:spacing w:val="-3"/>
          <w:sz w:val="22"/>
          <w:lang w:val="es-ES_tradnl"/>
        </w:rPr>
        <w:t>RLI: Renta Líquida Imponible del Impuesto General de Primera Categoría de la Ley sobre Impuesto a la Renta</w:t>
      </w:r>
      <w:r w:rsidR="008A5BB2" w:rsidRPr="00252C1F">
        <w:rPr>
          <w:rFonts w:ascii="Arial" w:hAnsi="Arial"/>
          <w:spacing w:val="-3"/>
          <w:sz w:val="22"/>
          <w:lang w:val="es-ES_tradnl"/>
        </w:rPr>
        <w:t>, determinada conforme a lo dispuesto por los artículos 29 al 33 de dicho texto legal</w:t>
      </w:r>
      <w:r w:rsidRPr="00252C1F">
        <w:rPr>
          <w:rFonts w:ascii="Arial" w:hAnsi="Arial"/>
          <w:spacing w:val="-3"/>
          <w:sz w:val="22"/>
          <w:lang w:val="es-ES_tradnl"/>
        </w:rPr>
        <w:t>.</w:t>
      </w:r>
    </w:p>
    <w:p w:rsidR="005A65A7" w:rsidRDefault="005A65A7" w:rsidP="003D1715">
      <w:pPr>
        <w:pStyle w:val="Prrafodelista"/>
        <w:tabs>
          <w:tab w:val="left" w:pos="284"/>
        </w:tabs>
        <w:ind w:left="0"/>
        <w:rPr>
          <w:rFonts w:ascii="Arial" w:hAnsi="Arial"/>
          <w:spacing w:val="-3"/>
          <w:sz w:val="22"/>
          <w:lang w:val="es-ES_tradnl"/>
        </w:rPr>
      </w:pPr>
    </w:p>
    <w:p w:rsidR="005A65A7" w:rsidRPr="00252C1F" w:rsidRDefault="005A65A7" w:rsidP="003D1715">
      <w:pPr>
        <w:numPr>
          <w:ilvl w:val="0"/>
          <w:numId w:val="14"/>
        </w:numPr>
        <w:tabs>
          <w:tab w:val="left" w:pos="-284"/>
          <w:tab w:val="left" w:pos="284"/>
        </w:tabs>
        <w:suppressAutoHyphens/>
        <w:ind w:left="0" w:firstLine="0"/>
        <w:jc w:val="both"/>
        <w:rPr>
          <w:rFonts w:ascii="Arial" w:hAnsi="Arial"/>
          <w:spacing w:val="-3"/>
          <w:sz w:val="22"/>
          <w:lang w:val="es-ES_tradnl"/>
        </w:rPr>
      </w:pPr>
      <w:r>
        <w:rPr>
          <w:rFonts w:ascii="Arial" w:hAnsi="Arial"/>
          <w:spacing w:val="-3"/>
          <w:sz w:val="22"/>
          <w:lang w:val="es-ES_tradnl"/>
        </w:rPr>
        <w:t>TMCF: Tonelada (s) Métrica (s) de Cobre Fino.</w:t>
      </w:r>
    </w:p>
    <w:p w:rsidR="006047E4" w:rsidRPr="00252C1F" w:rsidRDefault="006047E4" w:rsidP="003D1715">
      <w:pPr>
        <w:tabs>
          <w:tab w:val="left" w:pos="-284"/>
          <w:tab w:val="left" w:pos="284"/>
        </w:tabs>
        <w:suppressAutoHyphens/>
        <w:jc w:val="both"/>
        <w:rPr>
          <w:rFonts w:ascii="Arial" w:hAnsi="Arial"/>
          <w:spacing w:val="-3"/>
          <w:sz w:val="22"/>
          <w:lang w:val="es-ES_tradnl"/>
        </w:rPr>
      </w:pPr>
    </w:p>
    <w:p w:rsidR="00241764" w:rsidRPr="00252C1F" w:rsidRDefault="00241764" w:rsidP="00483E3B">
      <w:pPr>
        <w:tabs>
          <w:tab w:val="left" w:pos="-284"/>
        </w:tabs>
        <w:suppressAutoHyphens/>
        <w:ind w:left="567" w:hanging="567"/>
        <w:jc w:val="both"/>
        <w:rPr>
          <w:rFonts w:ascii="Arial" w:hAnsi="Arial"/>
          <w:b/>
          <w:spacing w:val="-3"/>
          <w:sz w:val="22"/>
          <w:lang w:val="es-ES_tradnl"/>
        </w:rPr>
      </w:pPr>
    </w:p>
    <w:p w:rsidR="00596F98" w:rsidRDefault="00241764" w:rsidP="00483E3B">
      <w:pPr>
        <w:tabs>
          <w:tab w:val="left" w:pos="-284"/>
        </w:tabs>
        <w:suppressAutoHyphens/>
        <w:ind w:left="567" w:hanging="567"/>
        <w:jc w:val="both"/>
        <w:rPr>
          <w:rFonts w:ascii="Arial" w:hAnsi="Arial"/>
          <w:b/>
          <w:spacing w:val="-3"/>
          <w:sz w:val="22"/>
          <w:lang w:val="es-ES_tradnl"/>
        </w:rPr>
      </w:pPr>
      <w:r w:rsidRPr="00252C1F">
        <w:rPr>
          <w:rFonts w:ascii="Arial" w:hAnsi="Arial"/>
          <w:b/>
          <w:spacing w:val="-3"/>
          <w:sz w:val="22"/>
          <w:lang w:val="es-ES_tradnl"/>
        </w:rPr>
        <w:t xml:space="preserve">III.- </w:t>
      </w:r>
      <w:r w:rsidR="00596F98" w:rsidRPr="00252C1F">
        <w:rPr>
          <w:rFonts w:ascii="Arial" w:hAnsi="Arial"/>
          <w:b/>
          <w:spacing w:val="-3"/>
          <w:sz w:val="22"/>
          <w:lang w:val="es-ES_tradnl"/>
        </w:rPr>
        <w:t>INSTRUCCIONES SOBRE LA MATERIA.</w:t>
      </w:r>
    </w:p>
    <w:p w:rsidR="00315326" w:rsidRPr="00252C1F" w:rsidRDefault="00315326" w:rsidP="00483E3B">
      <w:pPr>
        <w:tabs>
          <w:tab w:val="left" w:pos="-284"/>
        </w:tabs>
        <w:suppressAutoHyphens/>
        <w:ind w:left="567" w:hanging="567"/>
        <w:jc w:val="both"/>
        <w:rPr>
          <w:rFonts w:ascii="Arial" w:hAnsi="Arial"/>
          <w:spacing w:val="-3"/>
          <w:sz w:val="22"/>
          <w:lang w:val="es-ES_tradnl"/>
        </w:rPr>
      </w:pPr>
    </w:p>
    <w:p w:rsidR="00596F98" w:rsidRDefault="0098602E" w:rsidP="00797998">
      <w:pPr>
        <w:pStyle w:val="NormalWeb"/>
        <w:jc w:val="both"/>
        <w:rPr>
          <w:rFonts w:ascii="Arial" w:hAnsi="Arial" w:cs="Arial"/>
          <w:b/>
          <w:sz w:val="22"/>
          <w:szCs w:val="22"/>
        </w:rPr>
      </w:pPr>
      <w:r w:rsidRPr="00252C1F">
        <w:rPr>
          <w:rFonts w:ascii="Arial" w:hAnsi="Arial"/>
          <w:b/>
          <w:spacing w:val="-3"/>
          <w:sz w:val="22"/>
          <w:lang w:val="es-ES_tradnl"/>
        </w:rPr>
        <w:t>I</w:t>
      </w:r>
      <w:r w:rsidR="00596F98" w:rsidRPr="00252C1F">
        <w:rPr>
          <w:rFonts w:ascii="Arial" w:hAnsi="Arial"/>
          <w:b/>
          <w:spacing w:val="-3"/>
          <w:sz w:val="22"/>
          <w:lang w:val="es-ES_tradnl"/>
        </w:rPr>
        <w:t xml:space="preserve">II.1.- </w:t>
      </w:r>
      <w:r w:rsidR="005C6FD8" w:rsidRPr="00252C1F">
        <w:rPr>
          <w:rFonts w:ascii="Arial" w:hAnsi="Arial"/>
          <w:b/>
          <w:spacing w:val="-3"/>
          <w:sz w:val="22"/>
          <w:lang w:val="es-ES_tradnl"/>
        </w:rPr>
        <w:t>Impuesto Específico a la Renta Operacional de la Actividad Minera.</w:t>
      </w:r>
      <w:r w:rsidR="00596F98" w:rsidRPr="00252C1F">
        <w:rPr>
          <w:rFonts w:ascii="Arial" w:hAnsi="Arial" w:cs="Arial"/>
          <w:b/>
          <w:sz w:val="22"/>
          <w:szCs w:val="22"/>
        </w:rPr>
        <w:t xml:space="preserve"> </w:t>
      </w:r>
    </w:p>
    <w:p w:rsidR="000434DA" w:rsidRDefault="000434DA" w:rsidP="00650225">
      <w:pPr>
        <w:pStyle w:val="NormalWeb"/>
        <w:numPr>
          <w:ilvl w:val="0"/>
          <w:numId w:val="18"/>
        </w:numPr>
        <w:tabs>
          <w:tab w:val="left" w:pos="426"/>
        </w:tabs>
        <w:ind w:left="0" w:firstLine="0"/>
        <w:jc w:val="both"/>
        <w:rPr>
          <w:rFonts w:ascii="Arial" w:hAnsi="Arial" w:cs="Arial"/>
          <w:sz w:val="22"/>
          <w:szCs w:val="22"/>
        </w:rPr>
      </w:pPr>
      <w:r w:rsidRPr="000434DA">
        <w:rPr>
          <w:rFonts w:ascii="Arial" w:hAnsi="Arial" w:cs="Arial"/>
          <w:b/>
          <w:sz w:val="22"/>
          <w:szCs w:val="22"/>
        </w:rPr>
        <w:t>Concepto</w:t>
      </w:r>
      <w:r w:rsidRPr="00533F32">
        <w:rPr>
          <w:rFonts w:ascii="Arial" w:hAnsi="Arial" w:cs="Arial"/>
          <w:b/>
          <w:sz w:val="22"/>
          <w:szCs w:val="22"/>
        </w:rPr>
        <w:t>s.</w:t>
      </w:r>
      <w:r>
        <w:rPr>
          <w:rFonts w:ascii="Arial" w:hAnsi="Arial" w:cs="Arial"/>
          <w:sz w:val="22"/>
          <w:szCs w:val="22"/>
        </w:rPr>
        <w:t xml:space="preserve"> </w:t>
      </w:r>
    </w:p>
    <w:p w:rsidR="00AE2AA1" w:rsidRDefault="00596F98" w:rsidP="000434DA">
      <w:pPr>
        <w:pStyle w:val="NormalWeb"/>
        <w:jc w:val="both"/>
        <w:rPr>
          <w:rFonts w:ascii="Arial" w:hAnsi="Arial" w:cs="Arial"/>
          <w:sz w:val="22"/>
          <w:szCs w:val="22"/>
        </w:rPr>
      </w:pPr>
      <w:r w:rsidRPr="00252C1F">
        <w:rPr>
          <w:rFonts w:ascii="Arial" w:hAnsi="Arial" w:cs="Arial"/>
          <w:sz w:val="22"/>
          <w:szCs w:val="22"/>
        </w:rPr>
        <w:t xml:space="preserve">El artículo 64 bis de la </w:t>
      </w:r>
      <w:r w:rsidRPr="00AB678E">
        <w:rPr>
          <w:rFonts w:ascii="Arial" w:hAnsi="Arial" w:cs="Arial"/>
          <w:b/>
          <w:sz w:val="22"/>
          <w:szCs w:val="22"/>
        </w:rPr>
        <w:t>LlR</w:t>
      </w:r>
      <w:r w:rsidRPr="00252C1F">
        <w:rPr>
          <w:rFonts w:ascii="Arial" w:hAnsi="Arial" w:cs="Arial"/>
          <w:sz w:val="22"/>
          <w:szCs w:val="22"/>
        </w:rPr>
        <w:t xml:space="preserve">, según </w:t>
      </w:r>
      <w:r w:rsidR="00340DA7" w:rsidRPr="00252C1F">
        <w:rPr>
          <w:rFonts w:ascii="Arial" w:hAnsi="Arial" w:cs="Arial"/>
          <w:sz w:val="22"/>
          <w:szCs w:val="22"/>
        </w:rPr>
        <w:t xml:space="preserve">su </w:t>
      </w:r>
      <w:r w:rsidR="004F2903" w:rsidRPr="00252C1F">
        <w:rPr>
          <w:rFonts w:ascii="Arial" w:hAnsi="Arial" w:cs="Arial"/>
          <w:sz w:val="22"/>
          <w:szCs w:val="22"/>
        </w:rPr>
        <w:t>texto fijado por</w:t>
      </w:r>
      <w:r w:rsidRPr="00252C1F">
        <w:rPr>
          <w:rFonts w:ascii="Arial" w:hAnsi="Arial" w:cs="Arial"/>
          <w:sz w:val="22"/>
          <w:szCs w:val="22"/>
        </w:rPr>
        <w:t xml:space="preserve"> la Ley 20.469, establece </w:t>
      </w:r>
      <w:r w:rsidR="00054C49" w:rsidRPr="00252C1F">
        <w:rPr>
          <w:rFonts w:ascii="Arial" w:hAnsi="Arial" w:cs="Arial"/>
          <w:sz w:val="22"/>
          <w:szCs w:val="22"/>
        </w:rPr>
        <w:t>el</w:t>
      </w:r>
      <w:r w:rsidRPr="00252C1F">
        <w:rPr>
          <w:rFonts w:ascii="Arial" w:hAnsi="Arial" w:cs="Arial"/>
          <w:sz w:val="22"/>
          <w:szCs w:val="22"/>
        </w:rPr>
        <w:t xml:space="preserve"> </w:t>
      </w:r>
      <w:r w:rsidR="00340DA7" w:rsidRPr="00AB678E">
        <w:rPr>
          <w:rFonts w:ascii="Arial" w:hAnsi="Arial" w:cs="Arial"/>
          <w:b/>
          <w:sz w:val="22"/>
          <w:szCs w:val="22"/>
        </w:rPr>
        <w:t>IEM</w:t>
      </w:r>
      <w:r w:rsidRPr="00252C1F">
        <w:rPr>
          <w:rFonts w:ascii="Arial" w:hAnsi="Arial" w:cs="Arial"/>
          <w:sz w:val="22"/>
          <w:szCs w:val="22"/>
        </w:rPr>
        <w:t>,</w:t>
      </w:r>
      <w:r w:rsidR="00340DA7" w:rsidRPr="00252C1F">
        <w:rPr>
          <w:rFonts w:ascii="Arial" w:hAnsi="Arial" w:cs="Arial"/>
          <w:sz w:val="22"/>
          <w:szCs w:val="22"/>
        </w:rPr>
        <w:t xml:space="preserve"> p</w:t>
      </w:r>
      <w:r w:rsidRPr="00252C1F">
        <w:rPr>
          <w:rFonts w:ascii="Arial" w:hAnsi="Arial" w:cs="Arial"/>
          <w:sz w:val="22"/>
          <w:szCs w:val="22"/>
        </w:rPr>
        <w:t xml:space="preserve">ara </w:t>
      </w:r>
      <w:r w:rsidR="00054C49" w:rsidRPr="00252C1F">
        <w:rPr>
          <w:rFonts w:ascii="Arial" w:hAnsi="Arial" w:cs="Arial"/>
          <w:sz w:val="22"/>
          <w:szCs w:val="22"/>
        </w:rPr>
        <w:t xml:space="preserve">cuya aplicación </w:t>
      </w:r>
      <w:r w:rsidR="00D37790" w:rsidRPr="00252C1F">
        <w:rPr>
          <w:rFonts w:ascii="Arial" w:hAnsi="Arial" w:cs="Arial"/>
          <w:sz w:val="22"/>
          <w:szCs w:val="22"/>
        </w:rPr>
        <w:t>es necesario tener presentes</w:t>
      </w:r>
      <w:r w:rsidR="00AE2AA1" w:rsidRPr="00252C1F">
        <w:rPr>
          <w:rFonts w:ascii="Arial" w:hAnsi="Arial" w:cs="Arial"/>
          <w:sz w:val="22"/>
          <w:szCs w:val="22"/>
        </w:rPr>
        <w:t xml:space="preserve"> los siguientes conceptos:</w:t>
      </w:r>
    </w:p>
    <w:p w:rsidR="00353573" w:rsidRDefault="000434DA" w:rsidP="00601109">
      <w:pPr>
        <w:pStyle w:val="NormalWeb"/>
        <w:numPr>
          <w:ilvl w:val="0"/>
          <w:numId w:val="43"/>
        </w:numPr>
        <w:spacing w:before="0" w:beforeAutospacing="0" w:after="0" w:afterAutospacing="0"/>
        <w:jc w:val="both"/>
        <w:rPr>
          <w:rFonts w:ascii="Arial" w:hAnsi="Arial" w:cs="Arial"/>
          <w:sz w:val="22"/>
          <w:szCs w:val="22"/>
        </w:rPr>
      </w:pPr>
      <w:r w:rsidRPr="00601109">
        <w:rPr>
          <w:rFonts w:ascii="Arial" w:hAnsi="Arial" w:cs="Arial"/>
          <w:b/>
          <w:sz w:val="22"/>
          <w:szCs w:val="22"/>
        </w:rPr>
        <w:t xml:space="preserve">Hecho gravado. </w:t>
      </w:r>
      <w:r w:rsidRPr="002916F6">
        <w:rPr>
          <w:rFonts w:ascii="Arial" w:hAnsi="Arial" w:cs="Arial"/>
          <w:i/>
          <w:sz w:val="22"/>
          <w:szCs w:val="22"/>
        </w:rPr>
        <w:t>Renta</w:t>
      </w:r>
      <w:r w:rsidR="00D91535" w:rsidRPr="002916F6">
        <w:rPr>
          <w:rFonts w:ascii="Arial" w:hAnsi="Arial" w:cs="Arial"/>
          <w:i/>
          <w:sz w:val="22"/>
          <w:szCs w:val="22"/>
        </w:rPr>
        <w:t xml:space="preserve"> Imponible</w:t>
      </w:r>
      <w:r w:rsidRPr="002916F6">
        <w:rPr>
          <w:rFonts w:ascii="Arial" w:hAnsi="Arial" w:cs="Arial"/>
          <w:i/>
          <w:sz w:val="22"/>
          <w:szCs w:val="22"/>
        </w:rPr>
        <w:t xml:space="preserve"> </w:t>
      </w:r>
      <w:r w:rsidR="00D91535" w:rsidRPr="002916F6">
        <w:rPr>
          <w:rFonts w:ascii="Arial" w:hAnsi="Arial" w:cs="Arial"/>
          <w:i/>
          <w:sz w:val="22"/>
          <w:szCs w:val="22"/>
        </w:rPr>
        <w:t>Operacional de la Actividad M</w:t>
      </w:r>
      <w:r w:rsidR="00650225" w:rsidRPr="002916F6">
        <w:rPr>
          <w:rFonts w:ascii="Arial" w:hAnsi="Arial" w:cs="Arial"/>
          <w:i/>
          <w:sz w:val="22"/>
          <w:szCs w:val="22"/>
        </w:rPr>
        <w:t xml:space="preserve">inera </w:t>
      </w:r>
      <w:r w:rsidR="00650225">
        <w:rPr>
          <w:rFonts w:ascii="Arial" w:hAnsi="Arial" w:cs="Arial"/>
          <w:sz w:val="22"/>
          <w:szCs w:val="22"/>
        </w:rPr>
        <w:t>obtenida por un Explotador M</w:t>
      </w:r>
      <w:r w:rsidRPr="00601109">
        <w:rPr>
          <w:rFonts w:ascii="Arial" w:hAnsi="Arial" w:cs="Arial"/>
          <w:sz w:val="22"/>
          <w:szCs w:val="22"/>
        </w:rPr>
        <w:t>inero</w:t>
      </w:r>
      <w:r>
        <w:rPr>
          <w:rStyle w:val="Refdenotaalpie"/>
          <w:rFonts w:ascii="Arial" w:hAnsi="Arial" w:cs="Arial"/>
          <w:sz w:val="22"/>
          <w:szCs w:val="22"/>
        </w:rPr>
        <w:footnoteReference w:id="1"/>
      </w:r>
      <w:r w:rsidRPr="00601109">
        <w:rPr>
          <w:rFonts w:ascii="Arial" w:hAnsi="Arial" w:cs="Arial"/>
          <w:sz w:val="22"/>
          <w:szCs w:val="22"/>
        </w:rPr>
        <w:t>.</w:t>
      </w:r>
    </w:p>
    <w:p w:rsidR="00601109" w:rsidRPr="00601109" w:rsidRDefault="00601109" w:rsidP="00601109">
      <w:pPr>
        <w:pStyle w:val="NormalWeb"/>
        <w:spacing w:before="0" w:beforeAutospacing="0" w:after="0" w:afterAutospacing="0" w:line="240" w:lineRule="atLeast"/>
        <w:ind w:left="720"/>
        <w:jc w:val="both"/>
        <w:rPr>
          <w:rFonts w:ascii="Arial" w:hAnsi="Arial" w:cs="Arial"/>
          <w:sz w:val="22"/>
          <w:szCs w:val="22"/>
        </w:rPr>
      </w:pPr>
    </w:p>
    <w:p w:rsidR="00610AC2" w:rsidRDefault="000434DA" w:rsidP="00601109">
      <w:pPr>
        <w:pStyle w:val="NormalWeb"/>
        <w:numPr>
          <w:ilvl w:val="0"/>
          <w:numId w:val="43"/>
        </w:numPr>
        <w:spacing w:before="0" w:beforeAutospacing="0" w:after="0" w:afterAutospacing="0" w:line="240" w:lineRule="atLeast"/>
        <w:jc w:val="both"/>
        <w:rPr>
          <w:rFonts w:ascii="Arial" w:hAnsi="Arial" w:cs="Arial"/>
          <w:sz w:val="22"/>
          <w:szCs w:val="22"/>
        </w:rPr>
      </w:pPr>
      <w:r>
        <w:rPr>
          <w:rFonts w:ascii="Arial" w:hAnsi="Arial" w:cs="Arial"/>
          <w:b/>
          <w:bCs/>
          <w:sz w:val="22"/>
          <w:szCs w:val="22"/>
        </w:rPr>
        <w:t xml:space="preserve">Sujeto Pasivo. </w:t>
      </w:r>
      <w:r w:rsidRPr="000434DA">
        <w:rPr>
          <w:rFonts w:ascii="Arial" w:hAnsi="Arial" w:cs="Arial"/>
          <w:bCs/>
          <w:sz w:val="22"/>
          <w:szCs w:val="22"/>
        </w:rPr>
        <w:t>El</w:t>
      </w:r>
      <w:r>
        <w:rPr>
          <w:rFonts w:ascii="Arial" w:hAnsi="Arial" w:cs="Arial"/>
          <w:b/>
          <w:bCs/>
          <w:sz w:val="22"/>
          <w:szCs w:val="22"/>
        </w:rPr>
        <w:t xml:space="preserve"> </w:t>
      </w:r>
      <w:r w:rsidR="00650225">
        <w:rPr>
          <w:rFonts w:ascii="Arial" w:hAnsi="Arial" w:cs="Arial"/>
          <w:bCs/>
          <w:i/>
          <w:sz w:val="22"/>
          <w:szCs w:val="22"/>
        </w:rPr>
        <w:t>E</w:t>
      </w:r>
      <w:r w:rsidR="00E6365A" w:rsidRPr="00322276">
        <w:rPr>
          <w:rFonts w:ascii="Arial" w:hAnsi="Arial" w:cs="Arial"/>
          <w:bCs/>
          <w:i/>
          <w:sz w:val="22"/>
          <w:szCs w:val="22"/>
        </w:rPr>
        <w:t xml:space="preserve">xplotador </w:t>
      </w:r>
      <w:r w:rsidR="00650225">
        <w:rPr>
          <w:rFonts w:ascii="Arial" w:hAnsi="Arial" w:cs="Arial"/>
          <w:bCs/>
          <w:i/>
          <w:sz w:val="22"/>
          <w:szCs w:val="22"/>
        </w:rPr>
        <w:t>M</w:t>
      </w:r>
      <w:r w:rsidR="00E6365A" w:rsidRPr="00322276">
        <w:rPr>
          <w:rFonts w:ascii="Arial" w:hAnsi="Arial" w:cs="Arial"/>
          <w:bCs/>
          <w:i/>
          <w:sz w:val="22"/>
          <w:szCs w:val="22"/>
        </w:rPr>
        <w:t>inero</w:t>
      </w:r>
      <w:r w:rsidR="00391EA6">
        <w:rPr>
          <w:rFonts w:ascii="Arial" w:hAnsi="Arial" w:cs="Arial"/>
          <w:b/>
          <w:bCs/>
          <w:sz w:val="22"/>
          <w:szCs w:val="22"/>
        </w:rPr>
        <w:t xml:space="preserve"> (EM)</w:t>
      </w:r>
      <w:r w:rsidR="00322276">
        <w:rPr>
          <w:rFonts w:ascii="Arial" w:hAnsi="Arial" w:cs="Arial"/>
          <w:b/>
          <w:bCs/>
          <w:sz w:val="22"/>
          <w:szCs w:val="22"/>
        </w:rPr>
        <w:t xml:space="preserve">, </w:t>
      </w:r>
      <w:r w:rsidR="00596F98" w:rsidRPr="00252C1F">
        <w:rPr>
          <w:rFonts w:ascii="Arial" w:hAnsi="Arial" w:cs="Arial"/>
          <w:sz w:val="22"/>
          <w:szCs w:val="22"/>
        </w:rPr>
        <w:t xml:space="preserve">entendiéndose por </w:t>
      </w:r>
      <w:r w:rsidR="005F3C07" w:rsidRPr="00252C1F">
        <w:rPr>
          <w:rFonts w:ascii="Arial" w:hAnsi="Arial" w:cs="Arial"/>
          <w:sz w:val="22"/>
          <w:szCs w:val="22"/>
        </w:rPr>
        <w:t>tal a</w:t>
      </w:r>
      <w:r w:rsidR="00596F98" w:rsidRPr="00252C1F">
        <w:rPr>
          <w:rFonts w:ascii="Arial" w:hAnsi="Arial" w:cs="Arial"/>
          <w:sz w:val="22"/>
          <w:szCs w:val="22"/>
        </w:rPr>
        <w:t xml:space="preserve"> toda persona natural o jurídica que extraiga sustancias minerales de carácter concesible y las venda en cualquier estado productivo en que se encuentren</w:t>
      </w:r>
      <w:r w:rsidR="00925338" w:rsidRPr="00252C1F">
        <w:rPr>
          <w:rStyle w:val="Refdenotaalpie"/>
          <w:rFonts w:ascii="Arial" w:hAnsi="Arial" w:cs="Arial"/>
          <w:sz w:val="22"/>
          <w:szCs w:val="22"/>
        </w:rPr>
        <w:footnoteReference w:id="2"/>
      </w:r>
      <w:r w:rsidR="00596F98" w:rsidRPr="00252C1F">
        <w:rPr>
          <w:rFonts w:ascii="Arial" w:hAnsi="Arial" w:cs="Arial"/>
          <w:sz w:val="22"/>
          <w:szCs w:val="22"/>
        </w:rPr>
        <w:t xml:space="preserve">. De acuerdo con esta definición, el contribuyente del impuesto es aquel que copulativamente extraiga y </w:t>
      </w:r>
      <w:r w:rsidR="00596F98" w:rsidRPr="008F6B60">
        <w:rPr>
          <w:rFonts w:ascii="Arial" w:hAnsi="Arial" w:cs="Arial"/>
          <w:sz w:val="22"/>
          <w:szCs w:val="22"/>
        </w:rPr>
        <w:t xml:space="preserve">venda </w:t>
      </w:r>
      <w:r w:rsidR="00596F98" w:rsidRPr="00252C1F">
        <w:rPr>
          <w:rFonts w:ascii="Arial" w:hAnsi="Arial" w:cs="Arial"/>
          <w:sz w:val="22"/>
          <w:szCs w:val="22"/>
        </w:rPr>
        <w:t>el mineral.</w:t>
      </w:r>
    </w:p>
    <w:p w:rsidR="000434DA" w:rsidRPr="00252C1F" w:rsidRDefault="000434DA" w:rsidP="00601109">
      <w:pPr>
        <w:pStyle w:val="NormalWeb"/>
        <w:spacing w:line="240" w:lineRule="atLeast"/>
        <w:ind w:left="709"/>
        <w:jc w:val="both"/>
        <w:rPr>
          <w:sz w:val="22"/>
          <w:szCs w:val="22"/>
        </w:rPr>
      </w:pPr>
      <w:r w:rsidRPr="00353573">
        <w:rPr>
          <w:rFonts w:ascii="Arial" w:hAnsi="Arial" w:cs="Arial"/>
          <w:bCs/>
          <w:i/>
          <w:sz w:val="22"/>
          <w:szCs w:val="22"/>
        </w:rPr>
        <w:t>Venta:</w:t>
      </w:r>
      <w:r w:rsidRPr="00252C1F">
        <w:rPr>
          <w:rFonts w:ascii="Arial" w:hAnsi="Arial" w:cs="Arial"/>
          <w:sz w:val="22"/>
          <w:szCs w:val="22"/>
        </w:rPr>
        <w:t xml:space="preserve"> Todo acto jurídico celebrado por el </w:t>
      </w:r>
      <w:r w:rsidR="008F6B60" w:rsidRPr="008F6B60">
        <w:rPr>
          <w:rFonts w:ascii="Arial" w:hAnsi="Arial" w:cs="Arial"/>
          <w:b/>
          <w:sz w:val="22"/>
          <w:szCs w:val="22"/>
        </w:rPr>
        <w:t>EM</w:t>
      </w:r>
      <w:r w:rsidRPr="00252C1F">
        <w:rPr>
          <w:rFonts w:ascii="Arial" w:hAnsi="Arial" w:cs="Arial"/>
          <w:sz w:val="22"/>
          <w:szCs w:val="22"/>
        </w:rPr>
        <w:t xml:space="preserve"> que tenga por finalidad o pueda producir el efecto de transferir la propiedad de un </w:t>
      </w:r>
      <w:r w:rsidR="008F6B60" w:rsidRPr="008F6B60">
        <w:rPr>
          <w:rFonts w:ascii="Arial" w:hAnsi="Arial" w:cs="Arial"/>
          <w:sz w:val="22"/>
          <w:szCs w:val="22"/>
        </w:rPr>
        <w:t>Producto M</w:t>
      </w:r>
      <w:r w:rsidRPr="008F6B60">
        <w:rPr>
          <w:rFonts w:ascii="Arial" w:hAnsi="Arial" w:cs="Arial"/>
          <w:sz w:val="22"/>
          <w:szCs w:val="22"/>
        </w:rPr>
        <w:t>inero</w:t>
      </w:r>
      <w:r w:rsidRPr="00252C1F">
        <w:rPr>
          <w:rFonts w:ascii="Arial" w:hAnsi="Arial" w:cs="Arial"/>
          <w:sz w:val="22"/>
          <w:szCs w:val="22"/>
        </w:rPr>
        <w:t xml:space="preserve">. Por lo tanto, no sólo debe entenderse en este concepto el contrato de compraventa, sino que también otros por </w:t>
      </w:r>
      <w:r>
        <w:rPr>
          <w:rFonts w:ascii="Arial" w:hAnsi="Arial" w:cs="Arial"/>
          <w:sz w:val="22"/>
          <w:szCs w:val="22"/>
        </w:rPr>
        <w:t xml:space="preserve">los </w:t>
      </w:r>
      <w:r w:rsidRPr="00252C1F">
        <w:rPr>
          <w:rFonts w:ascii="Arial" w:hAnsi="Arial" w:cs="Arial"/>
          <w:sz w:val="22"/>
          <w:szCs w:val="22"/>
        </w:rPr>
        <w:t>cuales pueda</w:t>
      </w:r>
      <w:r w:rsidR="008F6B60">
        <w:rPr>
          <w:rFonts w:ascii="Arial" w:hAnsi="Arial" w:cs="Arial"/>
          <w:sz w:val="22"/>
          <w:szCs w:val="22"/>
        </w:rPr>
        <w:t xml:space="preserve"> transferirse la propiedad del Producto M</w:t>
      </w:r>
      <w:r w:rsidRPr="00252C1F">
        <w:rPr>
          <w:rFonts w:ascii="Arial" w:hAnsi="Arial" w:cs="Arial"/>
          <w:sz w:val="22"/>
          <w:szCs w:val="22"/>
        </w:rPr>
        <w:t>inero, tales como dación en pago, aportes a sociedades, y otros.</w:t>
      </w:r>
      <w:r w:rsidRPr="00252C1F">
        <w:rPr>
          <w:rStyle w:val="Refdenotaalpie"/>
          <w:rFonts w:ascii="Arial" w:hAnsi="Arial" w:cs="Arial"/>
          <w:sz w:val="22"/>
          <w:szCs w:val="22"/>
        </w:rPr>
        <w:footnoteReference w:id="3"/>
      </w:r>
    </w:p>
    <w:p w:rsidR="00FF4E9A" w:rsidRPr="00252C1F" w:rsidRDefault="00610AC2" w:rsidP="00601109">
      <w:pPr>
        <w:pStyle w:val="NormalWeb"/>
        <w:spacing w:line="240" w:lineRule="atLeast"/>
        <w:ind w:left="709"/>
        <w:jc w:val="both"/>
        <w:rPr>
          <w:sz w:val="22"/>
          <w:szCs w:val="22"/>
        </w:rPr>
      </w:pPr>
      <w:r w:rsidRPr="00353573">
        <w:rPr>
          <w:rFonts w:ascii="Arial" w:hAnsi="Arial" w:cs="Arial"/>
          <w:bCs/>
          <w:i/>
          <w:sz w:val="22"/>
          <w:szCs w:val="22"/>
        </w:rPr>
        <w:t>P</w:t>
      </w:r>
      <w:r w:rsidR="00596F98" w:rsidRPr="00353573">
        <w:rPr>
          <w:rFonts w:ascii="Arial" w:hAnsi="Arial" w:cs="Arial"/>
          <w:bCs/>
          <w:i/>
          <w:sz w:val="22"/>
          <w:szCs w:val="22"/>
        </w:rPr>
        <w:t>roducto</w:t>
      </w:r>
      <w:r w:rsidR="005D6ABB" w:rsidRPr="00353573">
        <w:rPr>
          <w:rFonts w:ascii="Arial" w:hAnsi="Arial" w:cs="Arial"/>
          <w:bCs/>
          <w:i/>
          <w:sz w:val="22"/>
          <w:szCs w:val="22"/>
        </w:rPr>
        <w:t xml:space="preserve"> M</w:t>
      </w:r>
      <w:r w:rsidR="00596F98" w:rsidRPr="00353573">
        <w:rPr>
          <w:rFonts w:ascii="Arial" w:hAnsi="Arial" w:cs="Arial"/>
          <w:bCs/>
          <w:i/>
          <w:sz w:val="22"/>
          <w:szCs w:val="22"/>
        </w:rPr>
        <w:t>inero</w:t>
      </w:r>
      <w:r w:rsidR="007E2605">
        <w:rPr>
          <w:rFonts w:ascii="Arial" w:hAnsi="Arial" w:cs="Arial"/>
          <w:b/>
          <w:bCs/>
          <w:sz w:val="22"/>
          <w:szCs w:val="22"/>
        </w:rPr>
        <w:t xml:space="preserve"> (PM)</w:t>
      </w:r>
      <w:r w:rsidR="00596F98" w:rsidRPr="00252C1F">
        <w:rPr>
          <w:rFonts w:ascii="Arial" w:hAnsi="Arial" w:cs="Arial"/>
          <w:b/>
          <w:bCs/>
          <w:sz w:val="22"/>
          <w:szCs w:val="22"/>
        </w:rPr>
        <w:t>:</w:t>
      </w:r>
      <w:r w:rsidR="00596F98" w:rsidRPr="00252C1F">
        <w:rPr>
          <w:rFonts w:ascii="Arial" w:hAnsi="Arial" w:cs="Arial"/>
          <w:sz w:val="22"/>
          <w:szCs w:val="22"/>
        </w:rPr>
        <w:t xml:space="preserve"> Es la sustancia mineral de</w:t>
      </w:r>
      <w:r w:rsidR="00D37790" w:rsidRPr="00252C1F">
        <w:rPr>
          <w:rFonts w:ascii="Arial" w:hAnsi="Arial" w:cs="Arial"/>
          <w:sz w:val="22"/>
          <w:szCs w:val="22"/>
        </w:rPr>
        <w:t xml:space="preserve"> carácter concesible ya extraída</w:t>
      </w:r>
      <w:r w:rsidR="00596F98" w:rsidRPr="00252C1F">
        <w:rPr>
          <w:rFonts w:ascii="Arial" w:hAnsi="Arial" w:cs="Arial"/>
          <w:sz w:val="22"/>
          <w:szCs w:val="22"/>
        </w:rPr>
        <w:t>, haya o no sido objeto de beneficio, en cualquier estado productivo en que se encuentre.</w:t>
      </w:r>
      <w:r w:rsidR="007E2605">
        <w:rPr>
          <w:rStyle w:val="Refdenotaalpie"/>
          <w:rFonts w:ascii="Arial" w:hAnsi="Arial" w:cs="Arial"/>
          <w:sz w:val="22"/>
          <w:szCs w:val="22"/>
        </w:rPr>
        <w:footnoteReference w:id="4"/>
      </w:r>
      <w:r w:rsidR="00596F98" w:rsidRPr="00252C1F">
        <w:rPr>
          <w:rFonts w:ascii="Arial" w:hAnsi="Arial" w:cs="Arial"/>
          <w:sz w:val="22"/>
          <w:szCs w:val="22"/>
        </w:rPr>
        <w:t xml:space="preserve"> </w:t>
      </w:r>
    </w:p>
    <w:p w:rsidR="000434DA" w:rsidRPr="000434DA" w:rsidRDefault="000434DA" w:rsidP="00601109">
      <w:pPr>
        <w:pStyle w:val="NormalWeb"/>
        <w:numPr>
          <w:ilvl w:val="0"/>
          <w:numId w:val="43"/>
        </w:numPr>
        <w:spacing w:before="0" w:beforeAutospacing="0" w:after="0" w:afterAutospacing="0"/>
        <w:jc w:val="both"/>
        <w:rPr>
          <w:rFonts w:ascii="Arial" w:hAnsi="Arial" w:cs="Arial"/>
          <w:sz w:val="22"/>
          <w:szCs w:val="22"/>
        </w:rPr>
      </w:pPr>
      <w:r w:rsidRPr="000434DA">
        <w:rPr>
          <w:rFonts w:ascii="Arial" w:hAnsi="Arial" w:cs="Arial"/>
          <w:b/>
          <w:sz w:val="22"/>
          <w:szCs w:val="22"/>
        </w:rPr>
        <w:t>Base Imponible</w:t>
      </w:r>
      <w:r>
        <w:rPr>
          <w:rFonts w:ascii="Arial" w:hAnsi="Arial" w:cs="Arial"/>
          <w:sz w:val="22"/>
          <w:szCs w:val="22"/>
        </w:rPr>
        <w:t xml:space="preserve">. </w:t>
      </w:r>
      <w:r w:rsidRPr="00322276">
        <w:rPr>
          <w:rFonts w:ascii="Arial" w:hAnsi="Arial" w:cs="Arial"/>
          <w:i/>
          <w:sz w:val="22"/>
          <w:szCs w:val="22"/>
        </w:rPr>
        <w:t>Renta Imponible Operacional Minera</w:t>
      </w:r>
      <w:r>
        <w:rPr>
          <w:rFonts w:ascii="Arial" w:hAnsi="Arial" w:cs="Arial"/>
          <w:b/>
          <w:sz w:val="22"/>
          <w:szCs w:val="22"/>
        </w:rPr>
        <w:t xml:space="preserve"> (RIOM)</w:t>
      </w:r>
      <w:r w:rsidRPr="00252C1F">
        <w:rPr>
          <w:rFonts w:ascii="Arial" w:hAnsi="Arial" w:cs="Arial"/>
          <w:b/>
          <w:sz w:val="22"/>
          <w:szCs w:val="22"/>
        </w:rPr>
        <w:t xml:space="preserve">: </w:t>
      </w:r>
      <w:r w:rsidR="008F6B60">
        <w:rPr>
          <w:rFonts w:ascii="Arial" w:hAnsi="Arial" w:cs="Arial"/>
          <w:sz w:val="22"/>
          <w:szCs w:val="22"/>
        </w:rPr>
        <w:t>Corresponde a la Renta Líquida I</w:t>
      </w:r>
      <w:r w:rsidRPr="00252C1F">
        <w:rPr>
          <w:rFonts w:ascii="Arial" w:hAnsi="Arial" w:cs="Arial"/>
          <w:sz w:val="22"/>
          <w:szCs w:val="22"/>
        </w:rPr>
        <w:t xml:space="preserve">mponible </w:t>
      </w:r>
      <w:r w:rsidR="00175B35">
        <w:rPr>
          <w:rFonts w:ascii="Arial" w:hAnsi="Arial" w:cs="Arial"/>
          <w:sz w:val="22"/>
          <w:szCs w:val="22"/>
        </w:rPr>
        <w:t xml:space="preserve">de Primera Categoría </w:t>
      </w:r>
      <w:r w:rsidRPr="00252C1F">
        <w:rPr>
          <w:rFonts w:ascii="Arial" w:hAnsi="Arial" w:cs="Arial"/>
          <w:sz w:val="22"/>
          <w:szCs w:val="22"/>
        </w:rPr>
        <w:t>del contribuyente, ajustada de acuerdo al artículo 64 ter de la LIR</w:t>
      </w:r>
      <w:r>
        <w:rPr>
          <w:rStyle w:val="Refdenotaalpie"/>
          <w:rFonts w:ascii="Arial" w:hAnsi="Arial" w:cs="Arial"/>
          <w:sz w:val="22"/>
          <w:szCs w:val="22"/>
        </w:rPr>
        <w:footnoteReference w:id="5"/>
      </w:r>
      <w:r w:rsidR="00923A45">
        <w:rPr>
          <w:rFonts w:ascii="Arial" w:hAnsi="Arial" w:cs="Arial"/>
          <w:sz w:val="22"/>
          <w:szCs w:val="22"/>
        </w:rPr>
        <w:t xml:space="preserve">, </w:t>
      </w:r>
      <w:r w:rsidR="00923A45" w:rsidRPr="002203F2">
        <w:rPr>
          <w:rFonts w:ascii="Arial" w:hAnsi="Arial" w:cs="Arial"/>
          <w:sz w:val="22"/>
          <w:szCs w:val="22"/>
        </w:rPr>
        <w:t>la que se determinará de acuerdo a lo que se instruye en el N°</w:t>
      </w:r>
      <w:r w:rsidR="00923A45" w:rsidRPr="002203F2">
        <w:rPr>
          <w:rFonts w:ascii="Arial" w:hAnsi="Arial" w:cs="Arial"/>
          <w:b/>
          <w:sz w:val="22"/>
          <w:szCs w:val="22"/>
        </w:rPr>
        <w:t xml:space="preserve">(3) </w:t>
      </w:r>
      <w:r w:rsidR="00923A45" w:rsidRPr="002203F2">
        <w:rPr>
          <w:rFonts w:ascii="Arial" w:hAnsi="Arial" w:cs="Arial"/>
          <w:sz w:val="22"/>
          <w:szCs w:val="22"/>
        </w:rPr>
        <w:t xml:space="preserve">siguiente y en </w:t>
      </w:r>
      <w:r w:rsidR="00814EC4" w:rsidRPr="00814EC4">
        <w:rPr>
          <w:rFonts w:ascii="Arial" w:hAnsi="Arial" w:cs="Arial"/>
          <w:b/>
          <w:sz w:val="22"/>
          <w:szCs w:val="22"/>
        </w:rPr>
        <w:t>A</w:t>
      </w:r>
      <w:r w:rsidR="00923A45" w:rsidRPr="00814EC4">
        <w:rPr>
          <w:rFonts w:ascii="Arial" w:hAnsi="Arial" w:cs="Arial"/>
          <w:b/>
          <w:sz w:val="22"/>
          <w:szCs w:val="22"/>
        </w:rPr>
        <w:t>nexo N°</w:t>
      </w:r>
      <w:r w:rsidR="00923A45" w:rsidRPr="00175B35">
        <w:rPr>
          <w:rFonts w:ascii="Arial" w:hAnsi="Arial" w:cs="Arial"/>
          <w:b/>
          <w:sz w:val="22"/>
          <w:szCs w:val="22"/>
        </w:rPr>
        <w:t>6</w:t>
      </w:r>
      <w:r w:rsidR="00923A45" w:rsidRPr="002203F2">
        <w:rPr>
          <w:rFonts w:ascii="Arial" w:hAnsi="Arial" w:cs="Arial"/>
          <w:sz w:val="22"/>
          <w:szCs w:val="22"/>
        </w:rPr>
        <w:t xml:space="preserve"> de esta Circular.</w:t>
      </w:r>
    </w:p>
    <w:p w:rsidR="00353573" w:rsidRPr="00353573" w:rsidRDefault="00353573" w:rsidP="00601109">
      <w:pPr>
        <w:pStyle w:val="NormalWeb"/>
        <w:spacing w:before="0" w:beforeAutospacing="0" w:after="0" w:afterAutospacing="0"/>
        <w:ind w:left="720"/>
        <w:jc w:val="both"/>
        <w:rPr>
          <w:rFonts w:ascii="Arial" w:hAnsi="Arial" w:cs="Arial"/>
          <w:sz w:val="22"/>
          <w:szCs w:val="22"/>
        </w:rPr>
      </w:pPr>
    </w:p>
    <w:p w:rsidR="000434DA" w:rsidRDefault="00322276" w:rsidP="00601109">
      <w:pPr>
        <w:pStyle w:val="NormalWeb"/>
        <w:numPr>
          <w:ilvl w:val="0"/>
          <w:numId w:val="43"/>
        </w:numPr>
        <w:spacing w:before="0" w:beforeAutospacing="0" w:after="0" w:afterAutospacing="0"/>
        <w:jc w:val="both"/>
        <w:rPr>
          <w:rFonts w:ascii="Arial" w:hAnsi="Arial" w:cs="Arial"/>
          <w:sz w:val="22"/>
          <w:szCs w:val="22"/>
        </w:rPr>
      </w:pPr>
      <w:r w:rsidRPr="00322276">
        <w:rPr>
          <w:rFonts w:ascii="Arial" w:hAnsi="Arial" w:cs="Arial"/>
          <w:b/>
          <w:sz w:val="22"/>
          <w:szCs w:val="22"/>
        </w:rPr>
        <w:t xml:space="preserve">Tasa. </w:t>
      </w:r>
      <w:r w:rsidR="005453C6" w:rsidRPr="005453C6">
        <w:rPr>
          <w:rFonts w:ascii="Arial" w:hAnsi="Arial" w:cs="Arial"/>
          <w:sz w:val="22"/>
          <w:szCs w:val="22"/>
        </w:rPr>
        <w:t xml:space="preserve">El </w:t>
      </w:r>
      <w:r w:rsidR="0012693D" w:rsidRPr="0012693D">
        <w:rPr>
          <w:rFonts w:ascii="Arial" w:hAnsi="Arial" w:cs="Arial"/>
          <w:b/>
          <w:sz w:val="22"/>
          <w:szCs w:val="22"/>
        </w:rPr>
        <w:t>IEM</w:t>
      </w:r>
      <w:r w:rsidR="005453C6" w:rsidRPr="005453C6">
        <w:rPr>
          <w:rFonts w:ascii="Arial" w:hAnsi="Arial" w:cs="Arial"/>
          <w:sz w:val="22"/>
          <w:szCs w:val="22"/>
        </w:rPr>
        <w:t xml:space="preserve"> es de tasa </w:t>
      </w:r>
      <w:r w:rsidR="005453C6" w:rsidRPr="00601109">
        <w:rPr>
          <w:rFonts w:ascii="Arial" w:hAnsi="Arial" w:cs="Arial"/>
          <w:i/>
          <w:sz w:val="22"/>
          <w:szCs w:val="22"/>
        </w:rPr>
        <w:t>progresiva</w:t>
      </w:r>
      <w:r w:rsidR="005453C6" w:rsidRPr="005453C6">
        <w:rPr>
          <w:rFonts w:ascii="Arial" w:hAnsi="Arial" w:cs="Arial"/>
          <w:sz w:val="22"/>
          <w:szCs w:val="22"/>
        </w:rPr>
        <w:t xml:space="preserve"> </w:t>
      </w:r>
      <w:r w:rsidR="00601109">
        <w:rPr>
          <w:rFonts w:ascii="Arial" w:hAnsi="Arial" w:cs="Arial"/>
          <w:sz w:val="22"/>
          <w:szCs w:val="22"/>
        </w:rPr>
        <w:t xml:space="preserve">la que se determina </w:t>
      </w:r>
      <w:r w:rsidR="005453C6" w:rsidRPr="005453C6">
        <w:rPr>
          <w:rFonts w:ascii="Arial" w:hAnsi="Arial" w:cs="Arial"/>
          <w:sz w:val="22"/>
          <w:szCs w:val="22"/>
        </w:rPr>
        <w:t>en función de los siguientes factores:</w:t>
      </w:r>
    </w:p>
    <w:p w:rsidR="00601109" w:rsidRDefault="00601109" w:rsidP="00601109">
      <w:pPr>
        <w:pStyle w:val="NormalWeb"/>
        <w:spacing w:before="0" w:beforeAutospacing="0" w:after="0" w:afterAutospacing="0"/>
        <w:jc w:val="both"/>
        <w:rPr>
          <w:rFonts w:ascii="Arial" w:hAnsi="Arial" w:cs="Arial"/>
          <w:sz w:val="22"/>
          <w:szCs w:val="22"/>
        </w:rPr>
      </w:pPr>
    </w:p>
    <w:p w:rsidR="00601109" w:rsidRDefault="005453C6" w:rsidP="009F1327">
      <w:pPr>
        <w:pStyle w:val="NormalWeb"/>
        <w:numPr>
          <w:ilvl w:val="0"/>
          <w:numId w:val="44"/>
        </w:numPr>
        <w:spacing w:before="0" w:beforeAutospacing="0" w:after="0" w:afterAutospacing="0"/>
        <w:ind w:left="1134" w:hanging="425"/>
        <w:jc w:val="both"/>
        <w:rPr>
          <w:rFonts w:ascii="Arial" w:hAnsi="Arial" w:cs="Arial"/>
          <w:sz w:val="22"/>
          <w:szCs w:val="22"/>
        </w:rPr>
      </w:pPr>
      <w:r>
        <w:rPr>
          <w:rFonts w:ascii="Arial" w:hAnsi="Arial" w:cs="Arial"/>
          <w:sz w:val="22"/>
          <w:szCs w:val="22"/>
        </w:rPr>
        <w:t>A l</w:t>
      </w:r>
      <w:r w:rsidRPr="00252C1F">
        <w:rPr>
          <w:rFonts w:ascii="Arial" w:hAnsi="Arial" w:cs="Arial"/>
          <w:sz w:val="22"/>
          <w:szCs w:val="22"/>
        </w:rPr>
        <w:t xml:space="preserve">os </w:t>
      </w:r>
      <w:r w:rsidRPr="00AB678E">
        <w:rPr>
          <w:rFonts w:ascii="Arial" w:hAnsi="Arial" w:cs="Arial"/>
          <w:b/>
          <w:sz w:val="22"/>
          <w:szCs w:val="22"/>
        </w:rPr>
        <w:t>EM</w:t>
      </w:r>
      <w:r w:rsidRPr="00252C1F">
        <w:rPr>
          <w:rFonts w:ascii="Arial" w:hAnsi="Arial" w:cs="Arial"/>
          <w:sz w:val="22"/>
          <w:szCs w:val="22"/>
        </w:rPr>
        <w:t xml:space="preserve"> cuyas ventas anuales de </w:t>
      </w:r>
      <w:r w:rsidRPr="00AB678E">
        <w:rPr>
          <w:rFonts w:ascii="Arial" w:hAnsi="Arial" w:cs="Arial"/>
          <w:b/>
          <w:sz w:val="22"/>
          <w:szCs w:val="22"/>
        </w:rPr>
        <w:t>PM</w:t>
      </w:r>
      <w:r>
        <w:rPr>
          <w:rFonts w:ascii="Arial" w:hAnsi="Arial" w:cs="Arial"/>
          <w:sz w:val="22"/>
          <w:szCs w:val="22"/>
        </w:rPr>
        <w:t xml:space="preserve"> </w:t>
      </w:r>
      <w:r w:rsidRPr="00252C1F">
        <w:rPr>
          <w:rFonts w:ascii="Arial" w:hAnsi="Arial" w:cs="Arial"/>
          <w:sz w:val="22"/>
          <w:szCs w:val="22"/>
        </w:rPr>
        <w:t xml:space="preserve">sean iguales o inferiores al valor equivalente a 50.000 </w:t>
      </w:r>
      <w:r w:rsidRPr="00AB678E">
        <w:rPr>
          <w:rFonts w:ascii="Arial" w:hAnsi="Arial" w:cs="Arial"/>
          <w:b/>
          <w:sz w:val="22"/>
          <w:szCs w:val="22"/>
        </w:rPr>
        <w:t>TMCF</w:t>
      </w:r>
      <w:r w:rsidRPr="00252C1F">
        <w:rPr>
          <w:rFonts w:ascii="Arial" w:hAnsi="Arial" w:cs="Arial"/>
          <w:sz w:val="22"/>
          <w:szCs w:val="22"/>
        </w:rPr>
        <w:t xml:space="preserve"> y superiores al valor equivalente a 12.000 </w:t>
      </w:r>
      <w:r w:rsidRPr="00AB678E">
        <w:rPr>
          <w:rFonts w:ascii="Arial" w:hAnsi="Arial" w:cs="Arial"/>
          <w:b/>
          <w:sz w:val="22"/>
          <w:szCs w:val="22"/>
        </w:rPr>
        <w:t>TMCF</w:t>
      </w:r>
      <w:r w:rsidRPr="00252C1F">
        <w:rPr>
          <w:rFonts w:ascii="Arial" w:hAnsi="Arial" w:cs="Arial"/>
          <w:sz w:val="22"/>
          <w:szCs w:val="22"/>
        </w:rPr>
        <w:t xml:space="preserve">, </w:t>
      </w:r>
      <w:r>
        <w:rPr>
          <w:rFonts w:ascii="Arial" w:hAnsi="Arial" w:cs="Arial"/>
          <w:sz w:val="22"/>
          <w:szCs w:val="22"/>
        </w:rPr>
        <w:t>se les</w:t>
      </w:r>
      <w:r w:rsidRPr="00252C1F">
        <w:rPr>
          <w:rFonts w:ascii="Arial" w:hAnsi="Arial" w:cs="Arial"/>
          <w:sz w:val="22"/>
          <w:szCs w:val="22"/>
        </w:rPr>
        <w:t xml:space="preserve"> aplicar</w:t>
      </w:r>
      <w:r>
        <w:rPr>
          <w:rFonts w:ascii="Arial" w:hAnsi="Arial" w:cs="Arial"/>
          <w:sz w:val="22"/>
          <w:szCs w:val="22"/>
        </w:rPr>
        <w:t>á</w:t>
      </w:r>
      <w:r w:rsidRPr="00252C1F">
        <w:rPr>
          <w:rFonts w:ascii="Arial" w:hAnsi="Arial" w:cs="Arial"/>
          <w:sz w:val="22"/>
          <w:szCs w:val="22"/>
        </w:rPr>
        <w:t xml:space="preserve"> </w:t>
      </w:r>
      <w:r>
        <w:rPr>
          <w:rFonts w:ascii="Arial" w:hAnsi="Arial" w:cs="Arial"/>
          <w:sz w:val="22"/>
          <w:szCs w:val="22"/>
        </w:rPr>
        <w:t xml:space="preserve">una tasa de </w:t>
      </w:r>
      <w:r w:rsidRPr="00AB678E">
        <w:rPr>
          <w:rFonts w:ascii="Arial" w:hAnsi="Arial" w:cs="Arial"/>
          <w:b/>
          <w:sz w:val="22"/>
          <w:szCs w:val="22"/>
        </w:rPr>
        <w:t>IEM</w:t>
      </w:r>
      <w:r w:rsidRPr="00252C1F">
        <w:rPr>
          <w:rFonts w:ascii="Arial" w:hAnsi="Arial" w:cs="Arial"/>
          <w:sz w:val="22"/>
          <w:szCs w:val="22"/>
        </w:rPr>
        <w:t xml:space="preserve"> equivalente al promedio por tonelada de acuerdo a la escala de alícuotas que se </w:t>
      </w:r>
      <w:r>
        <w:rPr>
          <w:rFonts w:ascii="Arial" w:hAnsi="Arial" w:cs="Arial"/>
          <w:sz w:val="22"/>
          <w:szCs w:val="22"/>
        </w:rPr>
        <w:t>incluye</w:t>
      </w:r>
      <w:r w:rsidRPr="00252C1F">
        <w:rPr>
          <w:rFonts w:ascii="Arial" w:hAnsi="Arial" w:cs="Arial"/>
          <w:sz w:val="22"/>
          <w:szCs w:val="22"/>
        </w:rPr>
        <w:t xml:space="preserve"> en </w:t>
      </w:r>
      <w:r>
        <w:rPr>
          <w:rFonts w:ascii="Arial" w:hAnsi="Arial" w:cs="Arial"/>
          <w:sz w:val="22"/>
          <w:szCs w:val="22"/>
        </w:rPr>
        <w:t xml:space="preserve">el </w:t>
      </w:r>
      <w:r w:rsidR="0012693D" w:rsidRPr="0012693D">
        <w:rPr>
          <w:rFonts w:ascii="Arial" w:hAnsi="Arial" w:cs="Arial"/>
          <w:b/>
          <w:sz w:val="22"/>
          <w:szCs w:val="22"/>
        </w:rPr>
        <w:t>A</w:t>
      </w:r>
      <w:r w:rsidRPr="0012693D">
        <w:rPr>
          <w:rFonts w:ascii="Arial" w:hAnsi="Arial" w:cs="Arial"/>
          <w:b/>
          <w:sz w:val="22"/>
          <w:szCs w:val="22"/>
        </w:rPr>
        <w:t>nexo N°1</w:t>
      </w:r>
      <w:r>
        <w:rPr>
          <w:rFonts w:ascii="Arial" w:hAnsi="Arial" w:cs="Arial"/>
          <w:sz w:val="22"/>
          <w:szCs w:val="22"/>
        </w:rPr>
        <w:t xml:space="preserve"> de la presente Circular</w:t>
      </w:r>
      <w:r w:rsidRPr="00252C1F">
        <w:rPr>
          <w:rFonts w:ascii="Arial" w:hAnsi="Arial" w:cs="Arial"/>
          <w:sz w:val="22"/>
          <w:szCs w:val="22"/>
        </w:rPr>
        <w:t>.</w:t>
      </w:r>
    </w:p>
    <w:p w:rsidR="00601109" w:rsidRDefault="00601109" w:rsidP="009F1327">
      <w:pPr>
        <w:pStyle w:val="NormalWeb"/>
        <w:spacing w:before="0" w:beforeAutospacing="0" w:after="0" w:afterAutospacing="0"/>
        <w:ind w:left="1134" w:hanging="425"/>
        <w:jc w:val="both"/>
        <w:rPr>
          <w:rFonts w:ascii="Arial" w:hAnsi="Arial" w:cs="Arial"/>
          <w:sz w:val="22"/>
          <w:szCs w:val="22"/>
        </w:rPr>
      </w:pPr>
    </w:p>
    <w:p w:rsidR="005453C6" w:rsidRDefault="005453C6" w:rsidP="009F1327">
      <w:pPr>
        <w:pStyle w:val="NormalWeb"/>
        <w:numPr>
          <w:ilvl w:val="0"/>
          <w:numId w:val="44"/>
        </w:numPr>
        <w:spacing w:before="0" w:beforeAutospacing="0" w:after="0" w:afterAutospacing="0"/>
        <w:ind w:left="1134" w:hanging="425"/>
        <w:jc w:val="both"/>
        <w:rPr>
          <w:rFonts w:ascii="Arial" w:hAnsi="Arial" w:cs="Arial"/>
          <w:sz w:val="22"/>
          <w:szCs w:val="22"/>
        </w:rPr>
      </w:pPr>
      <w:r>
        <w:rPr>
          <w:rFonts w:ascii="Arial" w:hAnsi="Arial" w:cs="Arial"/>
          <w:sz w:val="22"/>
          <w:szCs w:val="22"/>
        </w:rPr>
        <w:t xml:space="preserve">A </w:t>
      </w:r>
      <w:r w:rsidRPr="00252C1F">
        <w:rPr>
          <w:rFonts w:ascii="Arial" w:hAnsi="Arial" w:cs="Arial"/>
          <w:sz w:val="22"/>
          <w:szCs w:val="22"/>
        </w:rPr>
        <w:t xml:space="preserve">los </w:t>
      </w:r>
      <w:r w:rsidRPr="00AB678E">
        <w:rPr>
          <w:rFonts w:ascii="Arial" w:hAnsi="Arial" w:cs="Arial"/>
          <w:b/>
          <w:sz w:val="22"/>
          <w:szCs w:val="22"/>
        </w:rPr>
        <w:t>EM</w:t>
      </w:r>
      <w:r w:rsidRPr="00252C1F">
        <w:rPr>
          <w:rFonts w:ascii="Arial" w:hAnsi="Arial" w:cs="Arial"/>
          <w:sz w:val="22"/>
          <w:szCs w:val="22"/>
        </w:rPr>
        <w:t xml:space="preserve"> cuyas ventas anuales de </w:t>
      </w:r>
      <w:r w:rsidRPr="00AB678E">
        <w:rPr>
          <w:rFonts w:ascii="Arial" w:hAnsi="Arial" w:cs="Arial"/>
          <w:b/>
          <w:sz w:val="22"/>
          <w:szCs w:val="22"/>
        </w:rPr>
        <w:t>PM</w:t>
      </w:r>
      <w:r>
        <w:rPr>
          <w:rFonts w:ascii="Arial" w:hAnsi="Arial" w:cs="Arial"/>
          <w:sz w:val="22"/>
          <w:szCs w:val="22"/>
        </w:rPr>
        <w:t xml:space="preserve"> </w:t>
      </w:r>
      <w:r w:rsidRPr="00252C1F">
        <w:rPr>
          <w:rFonts w:ascii="Arial" w:hAnsi="Arial" w:cs="Arial"/>
          <w:sz w:val="22"/>
          <w:szCs w:val="22"/>
        </w:rPr>
        <w:t xml:space="preserve">excedan al valor equivalente a 50.000 </w:t>
      </w:r>
      <w:r w:rsidRPr="00AB678E">
        <w:rPr>
          <w:rFonts w:ascii="Arial" w:hAnsi="Arial" w:cs="Arial"/>
          <w:b/>
          <w:sz w:val="22"/>
          <w:szCs w:val="22"/>
        </w:rPr>
        <w:t>TMCF</w:t>
      </w:r>
      <w:r w:rsidRPr="00252C1F">
        <w:rPr>
          <w:rFonts w:ascii="Arial" w:hAnsi="Arial" w:cs="Arial"/>
          <w:sz w:val="22"/>
          <w:szCs w:val="22"/>
        </w:rPr>
        <w:t xml:space="preserve">, </w:t>
      </w:r>
      <w:r w:rsidR="00353573">
        <w:rPr>
          <w:rFonts w:ascii="Arial" w:hAnsi="Arial" w:cs="Arial"/>
          <w:sz w:val="22"/>
          <w:szCs w:val="22"/>
        </w:rPr>
        <w:t xml:space="preserve">se les aplicará una tasa en función de </w:t>
      </w:r>
      <w:r w:rsidR="00601109" w:rsidRPr="00601109">
        <w:rPr>
          <w:rFonts w:ascii="Arial" w:hAnsi="Arial" w:cs="Arial"/>
          <w:i/>
          <w:sz w:val="22"/>
          <w:szCs w:val="22"/>
        </w:rPr>
        <w:t>Margen Operacional Minero</w:t>
      </w:r>
      <w:r w:rsidRPr="00252C1F">
        <w:rPr>
          <w:rFonts w:ascii="Arial" w:hAnsi="Arial" w:cs="Arial"/>
          <w:sz w:val="22"/>
          <w:szCs w:val="22"/>
        </w:rPr>
        <w:t xml:space="preserve"> del respectivo ejercicio, </w:t>
      </w:r>
      <w:r w:rsidR="00353573">
        <w:rPr>
          <w:rFonts w:ascii="Arial" w:hAnsi="Arial" w:cs="Arial"/>
          <w:sz w:val="22"/>
          <w:szCs w:val="22"/>
        </w:rPr>
        <w:t xml:space="preserve">la que se </w:t>
      </w:r>
      <w:r w:rsidRPr="00252C1F">
        <w:rPr>
          <w:rFonts w:ascii="Arial" w:hAnsi="Arial" w:cs="Arial"/>
          <w:sz w:val="22"/>
          <w:szCs w:val="22"/>
        </w:rPr>
        <w:t>determinará de acuerdo a la tabla que se in</w:t>
      </w:r>
      <w:r>
        <w:rPr>
          <w:rFonts w:ascii="Arial" w:hAnsi="Arial" w:cs="Arial"/>
          <w:sz w:val="22"/>
          <w:szCs w:val="22"/>
        </w:rPr>
        <w:t>cluye</w:t>
      </w:r>
      <w:r w:rsidRPr="00252C1F">
        <w:rPr>
          <w:rFonts w:ascii="Arial" w:hAnsi="Arial" w:cs="Arial"/>
          <w:sz w:val="22"/>
          <w:szCs w:val="22"/>
        </w:rPr>
        <w:t xml:space="preserve"> en</w:t>
      </w:r>
      <w:r>
        <w:rPr>
          <w:rFonts w:ascii="Arial" w:hAnsi="Arial" w:cs="Arial"/>
          <w:sz w:val="22"/>
          <w:szCs w:val="22"/>
        </w:rPr>
        <w:t xml:space="preserve"> el</w:t>
      </w:r>
      <w:r w:rsidRPr="00252C1F">
        <w:rPr>
          <w:rFonts w:ascii="Arial" w:hAnsi="Arial" w:cs="Arial"/>
          <w:sz w:val="22"/>
          <w:szCs w:val="22"/>
        </w:rPr>
        <w:t xml:space="preserve"> </w:t>
      </w:r>
      <w:r w:rsidR="00814EC4">
        <w:rPr>
          <w:rFonts w:ascii="Arial" w:hAnsi="Arial" w:cs="Arial"/>
          <w:b/>
          <w:sz w:val="22"/>
          <w:szCs w:val="22"/>
        </w:rPr>
        <w:t>A</w:t>
      </w:r>
      <w:r w:rsidRPr="00814EC4">
        <w:rPr>
          <w:rFonts w:ascii="Arial" w:hAnsi="Arial" w:cs="Arial"/>
          <w:b/>
          <w:sz w:val="22"/>
          <w:szCs w:val="22"/>
        </w:rPr>
        <w:t>nexo N°2</w:t>
      </w:r>
      <w:r>
        <w:rPr>
          <w:rFonts w:ascii="Arial" w:hAnsi="Arial" w:cs="Arial"/>
          <w:sz w:val="22"/>
          <w:szCs w:val="22"/>
        </w:rPr>
        <w:t xml:space="preserve"> de la presente Circular</w:t>
      </w:r>
      <w:r w:rsidRPr="00252C1F">
        <w:rPr>
          <w:rFonts w:ascii="Arial" w:hAnsi="Arial" w:cs="Arial"/>
          <w:sz w:val="22"/>
          <w:szCs w:val="22"/>
        </w:rPr>
        <w:t>.</w:t>
      </w:r>
    </w:p>
    <w:p w:rsidR="00353573" w:rsidRPr="00252C1F" w:rsidRDefault="00353573" w:rsidP="009F1327">
      <w:pPr>
        <w:pStyle w:val="NormalWeb"/>
        <w:ind w:left="709"/>
        <w:jc w:val="both"/>
        <w:rPr>
          <w:rFonts w:ascii="Arial" w:hAnsi="Arial" w:cs="Arial"/>
          <w:sz w:val="22"/>
          <w:szCs w:val="22"/>
        </w:rPr>
      </w:pPr>
      <w:r w:rsidRPr="00601109">
        <w:rPr>
          <w:rFonts w:ascii="Arial" w:hAnsi="Arial" w:cs="Arial"/>
          <w:i/>
          <w:sz w:val="22"/>
          <w:szCs w:val="22"/>
        </w:rPr>
        <w:t>Margen Operacional Minero</w:t>
      </w:r>
      <w:r>
        <w:rPr>
          <w:rFonts w:ascii="Arial" w:hAnsi="Arial" w:cs="Arial"/>
          <w:b/>
          <w:sz w:val="22"/>
          <w:szCs w:val="22"/>
        </w:rPr>
        <w:t xml:space="preserve"> (MOM)</w:t>
      </w:r>
      <w:r w:rsidRPr="00252C1F">
        <w:rPr>
          <w:rFonts w:ascii="Arial" w:hAnsi="Arial" w:cs="Arial"/>
          <w:b/>
          <w:sz w:val="22"/>
          <w:szCs w:val="22"/>
        </w:rPr>
        <w:t xml:space="preserve">: </w:t>
      </w:r>
      <w:r w:rsidRPr="00252C1F">
        <w:rPr>
          <w:rFonts w:ascii="Arial" w:hAnsi="Arial" w:cs="Arial"/>
          <w:sz w:val="22"/>
          <w:szCs w:val="22"/>
        </w:rPr>
        <w:t>E</w:t>
      </w:r>
      <w:r w:rsidR="000336B8">
        <w:rPr>
          <w:rFonts w:ascii="Arial" w:hAnsi="Arial" w:cs="Arial"/>
          <w:sz w:val="22"/>
          <w:szCs w:val="22"/>
        </w:rPr>
        <w:t>s e</w:t>
      </w:r>
      <w:r w:rsidRPr="00252C1F">
        <w:rPr>
          <w:rFonts w:ascii="Arial" w:hAnsi="Arial" w:cs="Arial"/>
          <w:sz w:val="22"/>
          <w:szCs w:val="22"/>
        </w:rPr>
        <w:t xml:space="preserve">l cociente, multiplicado por cien, que resulte de dividir la </w:t>
      </w:r>
      <w:r w:rsidR="000336B8" w:rsidRPr="0052008B">
        <w:rPr>
          <w:rFonts w:ascii="Arial" w:hAnsi="Arial" w:cs="Arial"/>
          <w:b/>
          <w:sz w:val="22"/>
          <w:szCs w:val="22"/>
        </w:rPr>
        <w:t>RIOM</w:t>
      </w:r>
      <w:r w:rsidRPr="00252C1F">
        <w:rPr>
          <w:rFonts w:ascii="Arial" w:hAnsi="Arial" w:cs="Arial"/>
          <w:sz w:val="22"/>
          <w:szCs w:val="22"/>
        </w:rPr>
        <w:t xml:space="preserve"> por los ingresos operacionales mineros del contribuyente.</w:t>
      </w:r>
      <w:r>
        <w:rPr>
          <w:rStyle w:val="Refdenotaalpie"/>
          <w:rFonts w:ascii="Arial" w:hAnsi="Arial" w:cs="Arial"/>
          <w:sz w:val="22"/>
          <w:szCs w:val="22"/>
        </w:rPr>
        <w:footnoteReference w:id="6"/>
      </w:r>
    </w:p>
    <w:p w:rsidR="00B72FDF" w:rsidRPr="00252C1F" w:rsidRDefault="009567D7" w:rsidP="009F1327">
      <w:pPr>
        <w:pStyle w:val="NormalWeb"/>
        <w:ind w:left="709"/>
        <w:jc w:val="both"/>
        <w:rPr>
          <w:rFonts w:ascii="Arial" w:hAnsi="Arial" w:cs="Arial"/>
          <w:sz w:val="22"/>
          <w:szCs w:val="22"/>
        </w:rPr>
      </w:pPr>
      <w:r w:rsidRPr="009F1327">
        <w:rPr>
          <w:rFonts w:ascii="Arial" w:hAnsi="Arial" w:cs="Arial"/>
          <w:bCs/>
          <w:i/>
          <w:sz w:val="22"/>
          <w:szCs w:val="22"/>
        </w:rPr>
        <w:t>Ingresos Operacionales M</w:t>
      </w:r>
      <w:r w:rsidR="00596F98" w:rsidRPr="009F1327">
        <w:rPr>
          <w:rFonts w:ascii="Arial" w:hAnsi="Arial" w:cs="Arial"/>
          <w:bCs/>
          <w:i/>
          <w:sz w:val="22"/>
          <w:szCs w:val="22"/>
        </w:rPr>
        <w:t>ineros</w:t>
      </w:r>
      <w:r w:rsidR="00807CF4">
        <w:rPr>
          <w:rFonts w:ascii="Arial" w:hAnsi="Arial" w:cs="Arial"/>
          <w:b/>
          <w:bCs/>
          <w:sz w:val="22"/>
          <w:szCs w:val="22"/>
        </w:rPr>
        <w:t xml:space="preserve"> (IOM)</w:t>
      </w:r>
      <w:r w:rsidR="00596F98" w:rsidRPr="00252C1F">
        <w:rPr>
          <w:rFonts w:ascii="Arial" w:hAnsi="Arial" w:cs="Arial"/>
          <w:b/>
          <w:bCs/>
          <w:sz w:val="22"/>
          <w:szCs w:val="22"/>
        </w:rPr>
        <w:t xml:space="preserve">: </w:t>
      </w:r>
      <w:r w:rsidR="00596F98" w:rsidRPr="00252C1F">
        <w:rPr>
          <w:rFonts w:ascii="Arial" w:hAnsi="Arial" w:cs="Arial"/>
          <w:bCs/>
          <w:sz w:val="22"/>
          <w:szCs w:val="22"/>
        </w:rPr>
        <w:t>Son</w:t>
      </w:r>
      <w:r w:rsidR="00596F98" w:rsidRPr="00252C1F">
        <w:rPr>
          <w:rFonts w:ascii="Arial" w:hAnsi="Arial" w:cs="Arial"/>
          <w:b/>
          <w:bCs/>
          <w:sz w:val="22"/>
          <w:szCs w:val="22"/>
        </w:rPr>
        <w:t xml:space="preserve"> </w:t>
      </w:r>
      <w:r w:rsidR="00596F98" w:rsidRPr="00252C1F">
        <w:rPr>
          <w:rFonts w:ascii="Arial" w:hAnsi="Arial" w:cs="Arial"/>
          <w:sz w:val="22"/>
          <w:szCs w:val="22"/>
        </w:rPr>
        <w:t>todos los ingresos determinados de conformidad al artículo 29 de la LIR, deducidos todos aquellos ingresos que no provengan directamente de la venta de productos mineros, con excepción de los conceptos señalados en la letra e)</w:t>
      </w:r>
      <w:r w:rsidRPr="00252C1F">
        <w:rPr>
          <w:rFonts w:ascii="Arial" w:hAnsi="Arial" w:cs="Arial"/>
          <w:sz w:val="22"/>
          <w:szCs w:val="22"/>
        </w:rPr>
        <w:t>,</w:t>
      </w:r>
      <w:r w:rsidR="00596F98" w:rsidRPr="00252C1F">
        <w:rPr>
          <w:rFonts w:ascii="Arial" w:hAnsi="Arial" w:cs="Arial"/>
          <w:sz w:val="22"/>
          <w:szCs w:val="22"/>
        </w:rPr>
        <w:t xml:space="preserve"> del </w:t>
      </w:r>
      <w:r w:rsidRPr="00252C1F">
        <w:rPr>
          <w:rFonts w:ascii="Arial" w:hAnsi="Arial" w:cs="Arial"/>
          <w:sz w:val="22"/>
          <w:szCs w:val="22"/>
        </w:rPr>
        <w:t>N°</w:t>
      </w:r>
      <w:r w:rsidR="00596F98" w:rsidRPr="00252C1F">
        <w:rPr>
          <w:rFonts w:ascii="Arial" w:hAnsi="Arial" w:cs="Arial"/>
          <w:sz w:val="22"/>
          <w:szCs w:val="22"/>
        </w:rPr>
        <w:t>3)</w:t>
      </w:r>
      <w:r w:rsidRPr="00252C1F">
        <w:rPr>
          <w:rFonts w:ascii="Arial" w:hAnsi="Arial" w:cs="Arial"/>
          <w:sz w:val="22"/>
          <w:szCs w:val="22"/>
        </w:rPr>
        <w:t>,</w:t>
      </w:r>
      <w:r w:rsidR="00596F98" w:rsidRPr="00252C1F">
        <w:rPr>
          <w:rFonts w:ascii="Arial" w:hAnsi="Arial" w:cs="Arial"/>
          <w:sz w:val="22"/>
          <w:szCs w:val="22"/>
        </w:rPr>
        <w:t xml:space="preserve"> del artículo 64 ter, de </w:t>
      </w:r>
      <w:r w:rsidR="009C5AC6" w:rsidRPr="00252C1F">
        <w:rPr>
          <w:rFonts w:ascii="Arial" w:hAnsi="Arial" w:cs="Arial"/>
          <w:sz w:val="22"/>
          <w:szCs w:val="22"/>
        </w:rPr>
        <w:t>l</w:t>
      </w:r>
      <w:r w:rsidR="00596F98" w:rsidRPr="00252C1F">
        <w:rPr>
          <w:rFonts w:ascii="Arial" w:hAnsi="Arial" w:cs="Arial"/>
          <w:sz w:val="22"/>
          <w:szCs w:val="22"/>
        </w:rPr>
        <w:t xml:space="preserve">a misma </w:t>
      </w:r>
      <w:r w:rsidRPr="00252C1F">
        <w:rPr>
          <w:rFonts w:ascii="Arial" w:hAnsi="Arial" w:cs="Arial"/>
          <w:sz w:val="22"/>
          <w:szCs w:val="22"/>
        </w:rPr>
        <w:t>L</w:t>
      </w:r>
      <w:r w:rsidR="00596F98" w:rsidRPr="00252C1F">
        <w:rPr>
          <w:rFonts w:ascii="Arial" w:hAnsi="Arial" w:cs="Arial"/>
          <w:sz w:val="22"/>
          <w:szCs w:val="22"/>
        </w:rPr>
        <w:t>ey.</w:t>
      </w:r>
      <w:r w:rsidR="00807CF4">
        <w:rPr>
          <w:rStyle w:val="Refdenotaalpie"/>
          <w:rFonts w:ascii="Arial" w:hAnsi="Arial" w:cs="Arial"/>
          <w:sz w:val="22"/>
          <w:szCs w:val="22"/>
        </w:rPr>
        <w:footnoteReference w:id="7"/>
      </w:r>
    </w:p>
    <w:p w:rsidR="00596F98" w:rsidRPr="00252C1F" w:rsidRDefault="00353573" w:rsidP="00483E3B">
      <w:pPr>
        <w:autoSpaceDE w:val="0"/>
        <w:autoSpaceDN w:val="0"/>
        <w:adjustRightInd w:val="0"/>
        <w:ind w:left="567" w:hanging="567"/>
        <w:jc w:val="both"/>
        <w:rPr>
          <w:rFonts w:ascii="Arial" w:hAnsi="Arial" w:cs="Arial"/>
          <w:bCs/>
          <w:sz w:val="22"/>
          <w:szCs w:val="22"/>
        </w:rPr>
      </w:pPr>
      <w:r w:rsidRPr="00252C1F">
        <w:rPr>
          <w:rFonts w:ascii="Arial" w:hAnsi="Arial" w:cs="Arial"/>
          <w:b/>
          <w:bCs/>
          <w:sz w:val="22"/>
          <w:szCs w:val="22"/>
        </w:rPr>
        <w:t xml:space="preserve"> </w:t>
      </w:r>
      <w:r w:rsidR="00CA0A27" w:rsidRPr="00252C1F">
        <w:rPr>
          <w:rFonts w:ascii="Arial" w:hAnsi="Arial" w:cs="Arial"/>
          <w:b/>
          <w:bCs/>
          <w:sz w:val="22"/>
          <w:szCs w:val="22"/>
        </w:rPr>
        <w:t>(2</w:t>
      </w:r>
      <w:r w:rsidR="00596F98" w:rsidRPr="00252C1F">
        <w:rPr>
          <w:rFonts w:ascii="Arial" w:hAnsi="Arial" w:cs="Arial"/>
          <w:b/>
          <w:bCs/>
          <w:sz w:val="22"/>
          <w:szCs w:val="22"/>
        </w:rPr>
        <w:t>)  </w:t>
      </w:r>
      <w:r w:rsidR="00483E3B" w:rsidRPr="00252C1F">
        <w:rPr>
          <w:rFonts w:ascii="Arial" w:hAnsi="Arial" w:cs="Arial"/>
          <w:b/>
          <w:bCs/>
          <w:sz w:val="22"/>
          <w:szCs w:val="22"/>
        </w:rPr>
        <w:t xml:space="preserve"> </w:t>
      </w:r>
      <w:r w:rsidR="00CA0A27" w:rsidRPr="00252C1F">
        <w:rPr>
          <w:rFonts w:ascii="Arial" w:hAnsi="Arial" w:cs="Arial"/>
          <w:b/>
          <w:bCs/>
          <w:sz w:val="22"/>
          <w:szCs w:val="22"/>
        </w:rPr>
        <w:t>Aplicación del</w:t>
      </w:r>
      <w:r w:rsidR="00596F98" w:rsidRPr="00252C1F">
        <w:rPr>
          <w:rFonts w:ascii="Arial" w:hAnsi="Arial" w:cs="Arial"/>
          <w:b/>
          <w:bCs/>
          <w:sz w:val="22"/>
          <w:szCs w:val="22"/>
        </w:rPr>
        <w:t xml:space="preserve"> </w:t>
      </w:r>
      <w:r w:rsidR="00CA0A27" w:rsidRPr="00252C1F">
        <w:rPr>
          <w:rFonts w:ascii="Arial" w:hAnsi="Arial" w:cs="Arial"/>
          <w:b/>
          <w:bCs/>
          <w:sz w:val="22"/>
          <w:szCs w:val="22"/>
        </w:rPr>
        <w:t>IEM:</w:t>
      </w:r>
    </w:p>
    <w:p w:rsidR="00596F98" w:rsidRPr="00252C1F" w:rsidRDefault="00596F98" w:rsidP="00483E3B">
      <w:pPr>
        <w:autoSpaceDE w:val="0"/>
        <w:autoSpaceDN w:val="0"/>
        <w:adjustRightInd w:val="0"/>
        <w:ind w:left="567" w:hanging="567"/>
        <w:jc w:val="both"/>
        <w:rPr>
          <w:rFonts w:ascii="Arial" w:hAnsi="Arial" w:cs="Arial"/>
          <w:bCs/>
          <w:sz w:val="22"/>
          <w:szCs w:val="22"/>
        </w:rPr>
      </w:pPr>
    </w:p>
    <w:p w:rsidR="00596F98" w:rsidRPr="00252C1F" w:rsidRDefault="00596F98" w:rsidP="00F707B1">
      <w:pPr>
        <w:numPr>
          <w:ilvl w:val="0"/>
          <w:numId w:val="19"/>
        </w:numPr>
        <w:autoSpaceDE w:val="0"/>
        <w:autoSpaceDN w:val="0"/>
        <w:adjustRightInd w:val="0"/>
        <w:jc w:val="both"/>
        <w:rPr>
          <w:rFonts w:ascii="Arial" w:hAnsi="Arial" w:cs="Arial"/>
          <w:b/>
          <w:bCs/>
          <w:sz w:val="22"/>
          <w:szCs w:val="22"/>
        </w:rPr>
      </w:pPr>
      <w:r w:rsidRPr="00252C1F">
        <w:rPr>
          <w:rFonts w:ascii="Arial" w:hAnsi="Arial" w:cs="Arial"/>
          <w:b/>
          <w:bCs/>
          <w:sz w:val="22"/>
          <w:szCs w:val="22"/>
        </w:rPr>
        <w:t>Escala de tasas.</w:t>
      </w:r>
      <w:r w:rsidR="00E039D3" w:rsidRPr="00252C1F">
        <w:rPr>
          <w:rFonts w:ascii="Arial" w:hAnsi="Arial" w:cs="Arial"/>
          <w:b/>
          <w:bCs/>
          <w:sz w:val="22"/>
          <w:szCs w:val="22"/>
        </w:rPr>
        <w:t xml:space="preserve"> </w:t>
      </w:r>
      <w:r w:rsidR="00E039D3" w:rsidRPr="00252C1F">
        <w:rPr>
          <w:rFonts w:ascii="Arial" w:hAnsi="Arial" w:cs="Arial"/>
          <w:bCs/>
          <w:sz w:val="22"/>
          <w:szCs w:val="22"/>
        </w:rPr>
        <w:t>P</w:t>
      </w:r>
      <w:r w:rsidR="00184B28" w:rsidRPr="00252C1F">
        <w:rPr>
          <w:rFonts w:ascii="Arial" w:hAnsi="Arial" w:cs="Arial"/>
          <w:sz w:val="22"/>
          <w:szCs w:val="22"/>
        </w:rPr>
        <w:t>ara efectos de aplicar e</w:t>
      </w:r>
      <w:r w:rsidRPr="00252C1F">
        <w:rPr>
          <w:rFonts w:ascii="Arial" w:hAnsi="Arial" w:cs="Arial"/>
          <w:sz w:val="22"/>
          <w:szCs w:val="22"/>
        </w:rPr>
        <w:t xml:space="preserve">l </w:t>
      </w:r>
      <w:r w:rsidR="00DA1218" w:rsidRPr="00AB678E">
        <w:rPr>
          <w:rFonts w:ascii="Arial" w:hAnsi="Arial" w:cs="Arial"/>
          <w:b/>
          <w:sz w:val="22"/>
          <w:szCs w:val="22"/>
        </w:rPr>
        <w:t>IEM</w:t>
      </w:r>
      <w:r w:rsidR="00F707B1" w:rsidRPr="00252C1F">
        <w:rPr>
          <w:rFonts w:ascii="Arial" w:hAnsi="Arial" w:cs="Arial"/>
          <w:sz w:val="22"/>
          <w:szCs w:val="22"/>
        </w:rPr>
        <w:t>, se debe determinar</w:t>
      </w:r>
      <w:r w:rsidR="00F707B1" w:rsidRPr="00252C1F">
        <w:rPr>
          <w:rFonts w:ascii="Arial" w:hAnsi="Arial" w:cs="Arial"/>
          <w:b/>
          <w:bCs/>
          <w:sz w:val="22"/>
          <w:szCs w:val="22"/>
        </w:rPr>
        <w:t xml:space="preserve"> </w:t>
      </w:r>
      <w:r w:rsidR="00184B28" w:rsidRPr="00252C1F">
        <w:rPr>
          <w:rFonts w:ascii="Arial" w:hAnsi="Arial" w:cs="Arial"/>
          <w:sz w:val="22"/>
          <w:szCs w:val="22"/>
        </w:rPr>
        <w:t>la escala de tasas aplicables</w:t>
      </w:r>
      <w:r w:rsidR="00DA1218" w:rsidRPr="00252C1F">
        <w:rPr>
          <w:rFonts w:ascii="Arial" w:hAnsi="Arial" w:cs="Arial"/>
          <w:sz w:val="22"/>
          <w:szCs w:val="22"/>
        </w:rPr>
        <w:t xml:space="preserve"> a la respectiva </w:t>
      </w:r>
      <w:r w:rsidR="00DA1218" w:rsidRPr="00AB678E">
        <w:rPr>
          <w:rFonts w:ascii="Arial" w:hAnsi="Arial" w:cs="Arial"/>
          <w:b/>
          <w:sz w:val="22"/>
          <w:szCs w:val="22"/>
        </w:rPr>
        <w:t>RIOM</w:t>
      </w:r>
      <w:r w:rsidR="00184B28" w:rsidRPr="00252C1F">
        <w:rPr>
          <w:rFonts w:ascii="Arial" w:hAnsi="Arial" w:cs="Arial"/>
          <w:sz w:val="22"/>
          <w:szCs w:val="22"/>
        </w:rPr>
        <w:t xml:space="preserve">, </w:t>
      </w:r>
      <w:r w:rsidRPr="00252C1F">
        <w:rPr>
          <w:rFonts w:ascii="Arial" w:hAnsi="Arial" w:cs="Arial"/>
          <w:sz w:val="22"/>
          <w:szCs w:val="22"/>
        </w:rPr>
        <w:t>de acuerdo a lo siguiente:</w:t>
      </w:r>
      <w:r w:rsidR="00B9216F">
        <w:rPr>
          <w:rStyle w:val="Refdenotaalpie"/>
          <w:rFonts w:ascii="Arial" w:hAnsi="Arial" w:cs="Arial"/>
          <w:sz w:val="22"/>
          <w:szCs w:val="22"/>
        </w:rPr>
        <w:footnoteReference w:id="8"/>
      </w:r>
    </w:p>
    <w:p w:rsidR="00E039D3" w:rsidRPr="00252C1F" w:rsidRDefault="00E039D3" w:rsidP="00E039D3">
      <w:pPr>
        <w:autoSpaceDE w:val="0"/>
        <w:autoSpaceDN w:val="0"/>
        <w:adjustRightInd w:val="0"/>
        <w:ind w:left="1287"/>
        <w:jc w:val="both"/>
        <w:rPr>
          <w:rFonts w:ascii="Arial" w:hAnsi="Arial" w:cs="Arial"/>
          <w:b/>
          <w:bCs/>
          <w:sz w:val="22"/>
          <w:szCs w:val="22"/>
        </w:rPr>
      </w:pPr>
    </w:p>
    <w:p w:rsidR="00BE4740" w:rsidRPr="00252C1F" w:rsidRDefault="005D6ABB" w:rsidP="00BE4740">
      <w:pPr>
        <w:pStyle w:val="NormalWeb"/>
        <w:numPr>
          <w:ilvl w:val="0"/>
          <w:numId w:val="21"/>
        </w:numPr>
        <w:spacing w:before="0" w:beforeAutospacing="0" w:after="0" w:afterAutospacing="0"/>
        <w:jc w:val="both"/>
        <w:rPr>
          <w:rFonts w:ascii="Arial" w:hAnsi="Arial" w:cs="Arial"/>
          <w:sz w:val="22"/>
          <w:szCs w:val="22"/>
        </w:rPr>
      </w:pPr>
      <w:r w:rsidRPr="00252C1F">
        <w:rPr>
          <w:rFonts w:ascii="Arial" w:hAnsi="Arial" w:cs="Arial"/>
          <w:sz w:val="22"/>
          <w:szCs w:val="22"/>
        </w:rPr>
        <w:t>Los</w:t>
      </w:r>
      <w:r w:rsidR="00596F98" w:rsidRPr="00252C1F">
        <w:rPr>
          <w:rFonts w:ascii="Arial" w:hAnsi="Arial" w:cs="Arial"/>
          <w:sz w:val="22"/>
          <w:szCs w:val="22"/>
        </w:rPr>
        <w:t xml:space="preserve"> </w:t>
      </w:r>
      <w:r w:rsidR="00DA1218" w:rsidRPr="00AB678E">
        <w:rPr>
          <w:rFonts w:ascii="Arial" w:hAnsi="Arial" w:cs="Arial"/>
          <w:b/>
          <w:sz w:val="22"/>
          <w:szCs w:val="22"/>
        </w:rPr>
        <w:t>EM</w:t>
      </w:r>
      <w:r w:rsidR="00596F98" w:rsidRPr="00252C1F">
        <w:rPr>
          <w:rFonts w:ascii="Arial" w:hAnsi="Arial" w:cs="Arial"/>
          <w:sz w:val="22"/>
          <w:szCs w:val="22"/>
        </w:rPr>
        <w:t xml:space="preserve"> cuyas ventas anuales </w:t>
      </w:r>
      <w:r w:rsidR="00E039D3" w:rsidRPr="00252C1F">
        <w:rPr>
          <w:rFonts w:ascii="Arial" w:hAnsi="Arial" w:cs="Arial"/>
          <w:sz w:val="22"/>
          <w:szCs w:val="22"/>
        </w:rPr>
        <w:t xml:space="preserve">de </w:t>
      </w:r>
      <w:r w:rsidR="00C83865" w:rsidRPr="00AB678E">
        <w:rPr>
          <w:rFonts w:ascii="Arial" w:hAnsi="Arial" w:cs="Arial"/>
          <w:b/>
          <w:sz w:val="22"/>
          <w:szCs w:val="22"/>
        </w:rPr>
        <w:t>PM</w:t>
      </w:r>
      <w:r w:rsidR="00264617">
        <w:rPr>
          <w:rFonts w:ascii="Arial" w:hAnsi="Arial" w:cs="Arial"/>
          <w:sz w:val="22"/>
          <w:szCs w:val="22"/>
        </w:rPr>
        <w:t xml:space="preserve"> determinadas de acuerdo a la letra d)</w:t>
      </w:r>
      <w:r w:rsidR="0052008B">
        <w:rPr>
          <w:rFonts w:ascii="Arial" w:hAnsi="Arial" w:cs="Arial"/>
          <w:sz w:val="22"/>
          <w:szCs w:val="22"/>
        </w:rPr>
        <w:t>,</w:t>
      </w:r>
      <w:r w:rsidR="00264617">
        <w:rPr>
          <w:rFonts w:ascii="Arial" w:hAnsi="Arial" w:cs="Arial"/>
          <w:sz w:val="22"/>
          <w:szCs w:val="22"/>
        </w:rPr>
        <w:t xml:space="preserve"> del artículo 64 bis</w:t>
      </w:r>
      <w:r w:rsidR="0052008B">
        <w:rPr>
          <w:rFonts w:ascii="Arial" w:hAnsi="Arial" w:cs="Arial"/>
          <w:sz w:val="22"/>
          <w:szCs w:val="22"/>
        </w:rPr>
        <w:t>,</w:t>
      </w:r>
      <w:r w:rsidR="00264617">
        <w:rPr>
          <w:rFonts w:ascii="Arial" w:hAnsi="Arial" w:cs="Arial"/>
          <w:sz w:val="22"/>
          <w:szCs w:val="22"/>
        </w:rPr>
        <w:t xml:space="preserve"> de la </w:t>
      </w:r>
      <w:r w:rsidR="00264617" w:rsidRPr="00AB678E">
        <w:rPr>
          <w:rFonts w:ascii="Arial" w:hAnsi="Arial" w:cs="Arial"/>
          <w:b/>
          <w:sz w:val="22"/>
          <w:szCs w:val="22"/>
        </w:rPr>
        <w:t>LIR</w:t>
      </w:r>
      <w:r w:rsidR="00264617">
        <w:rPr>
          <w:rFonts w:ascii="Arial" w:hAnsi="Arial" w:cs="Arial"/>
          <w:sz w:val="22"/>
          <w:szCs w:val="22"/>
        </w:rPr>
        <w:t>,</w:t>
      </w:r>
      <w:r w:rsidR="00E039D3" w:rsidRPr="00252C1F">
        <w:rPr>
          <w:rFonts w:ascii="Arial" w:hAnsi="Arial" w:cs="Arial"/>
          <w:sz w:val="22"/>
          <w:szCs w:val="22"/>
        </w:rPr>
        <w:t xml:space="preserve"> </w:t>
      </w:r>
      <w:r w:rsidR="00596F98" w:rsidRPr="00252C1F">
        <w:rPr>
          <w:rFonts w:ascii="Arial" w:hAnsi="Arial" w:cs="Arial"/>
          <w:sz w:val="22"/>
          <w:szCs w:val="22"/>
        </w:rPr>
        <w:t>sean</w:t>
      </w:r>
      <w:r w:rsidR="009D1C37">
        <w:rPr>
          <w:rFonts w:ascii="Arial" w:hAnsi="Arial" w:cs="Arial"/>
          <w:sz w:val="22"/>
          <w:szCs w:val="22"/>
        </w:rPr>
        <w:t xml:space="preserve"> de un valor</w:t>
      </w:r>
      <w:r w:rsidR="00596F98" w:rsidRPr="00252C1F">
        <w:rPr>
          <w:rFonts w:ascii="Arial" w:hAnsi="Arial" w:cs="Arial"/>
          <w:sz w:val="22"/>
          <w:szCs w:val="22"/>
        </w:rPr>
        <w:t xml:space="preserve"> igual o inferior al equivalente a 12.000 </w:t>
      </w:r>
      <w:r w:rsidR="005A65A7" w:rsidRPr="00AB678E">
        <w:rPr>
          <w:rFonts w:ascii="Arial" w:hAnsi="Arial" w:cs="Arial"/>
          <w:b/>
          <w:sz w:val="22"/>
          <w:szCs w:val="22"/>
        </w:rPr>
        <w:t>TMCF</w:t>
      </w:r>
      <w:r w:rsidR="00596F98" w:rsidRPr="00252C1F">
        <w:rPr>
          <w:rFonts w:ascii="Arial" w:hAnsi="Arial" w:cs="Arial"/>
          <w:sz w:val="22"/>
          <w:szCs w:val="22"/>
        </w:rPr>
        <w:t xml:space="preserve">, </w:t>
      </w:r>
      <w:r w:rsidR="009D1C37">
        <w:rPr>
          <w:rFonts w:ascii="Arial" w:hAnsi="Arial" w:cs="Arial"/>
          <w:sz w:val="22"/>
          <w:szCs w:val="22"/>
        </w:rPr>
        <w:t xml:space="preserve">no estarán afectos al </w:t>
      </w:r>
      <w:r w:rsidR="009D1C37" w:rsidRPr="00AB678E">
        <w:rPr>
          <w:rFonts w:ascii="Arial" w:hAnsi="Arial" w:cs="Arial"/>
          <w:b/>
          <w:sz w:val="22"/>
          <w:szCs w:val="22"/>
        </w:rPr>
        <w:t>IEM</w:t>
      </w:r>
      <w:r w:rsidR="00596F98" w:rsidRPr="00252C1F">
        <w:rPr>
          <w:rFonts w:ascii="Arial" w:hAnsi="Arial" w:cs="Arial"/>
          <w:sz w:val="22"/>
          <w:szCs w:val="22"/>
        </w:rPr>
        <w:t>.</w:t>
      </w:r>
    </w:p>
    <w:p w:rsidR="009F1327" w:rsidRDefault="009F1327" w:rsidP="009F1327">
      <w:pPr>
        <w:pStyle w:val="NormalWeb"/>
        <w:spacing w:before="0" w:beforeAutospacing="0" w:after="0" w:afterAutospacing="0"/>
        <w:ind w:left="1287"/>
        <w:jc w:val="both"/>
        <w:rPr>
          <w:rFonts w:ascii="Arial" w:hAnsi="Arial" w:cs="Arial"/>
          <w:sz w:val="22"/>
          <w:szCs w:val="22"/>
        </w:rPr>
      </w:pPr>
    </w:p>
    <w:p w:rsidR="00BE4740" w:rsidRPr="00252C1F" w:rsidRDefault="00E44A9D" w:rsidP="00BE4740">
      <w:pPr>
        <w:pStyle w:val="NormalWeb"/>
        <w:numPr>
          <w:ilvl w:val="0"/>
          <w:numId w:val="21"/>
        </w:numPr>
        <w:spacing w:before="0" w:beforeAutospacing="0" w:after="0" w:afterAutospacing="0"/>
        <w:jc w:val="both"/>
        <w:rPr>
          <w:rFonts w:ascii="Arial" w:hAnsi="Arial" w:cs="Arial"/>
          <w:sz w:val="22"/>
          <w:szCs w:val="22"/>
        </w:rPr>
      </w:pPr>
      <w:r>
        <w:rPr>
          <w:rFonts w:ascii="Arial" w:hAnsi="Arial" w:cs="Arial"/>
          <w:sz w:val="22"/>
          <w:szCs w:val="22"/>
        </w:rPr>
        <w:t xml:space="preserve">A </w:t>
      </w:r>
      <w:r w:rsidR="0022337C">
        <w:rPr>
          <w:rFonts w:ascii="Arial" w:hAnsi="Arial" w:cs="Arial"/>
          <w:sz w:val="22"/>
          <w:szCs w:val="22"/>
        </w:rPr>
        <w:t>l</w:t>
      </w:r>
      <w:r w:rsidR="005D6ABB" w:rsidRPr="00252C1F">
        <w:rPr>
          <w:rFonts w:ascii="Arial" w:hAnsi="Arial" w:cs="Arial"/>
          <w:sz w:val="22"/>
          <w:szCs w:val="22"/>
        </w:rPr>
        <w:t>os</w:t>
      </w:r>
      <w:r w:rsidR="00596F98" w:rsidRPr="00252C1F">
        <w:rPr>
          <w:rFonts w:ascii="Arial" w:hAnsi="Arial" w:cs="Arial"/>
          <w:sz w:val="22"/>
          <w:szCs w:val="22"/>
        </w:rPr>
        <w:t xml:space="preserve"> </w:t>
      </w:r>
      <w:r w:rsidR="00922216" w:rsidRPr="00AB678E">
        <w:rPr>
          <w:rFonts w:ascii="Arial" w:hAnsi="Arial" w:cs="Arial"/>
          <w:b/>
          <w:sz w:val="22"/>
          <w:szCs w:val="22"/>
        </w:rPr>
        <w:t>EM</w:t>
      </w:r>
      <w:r w:rsidR="00596F98" w:rsidRPr="00252C1F">
        <w:rPr>
          <w:rFonts w:ascii="Arial" w:hAnsi="Arial" w:cs="Arial"/>
          <w:sz w:val="22"/>
          <w:szCs w:val="22"/>
        </w:rPr>
        <w:t xml:space="preserve"> cuyas ventas anuales</w:t>
      </w:r>
      <w:r w:rsidR="00922216" w:rsidRPr="00252C1F">
        <w:rPr>
          <w:rFonts w:ascii="Arial" w:hAnsi="Arial" w:cs="Arial"/>
          <w:sz w:val="22"/>
          <w:szCs w:val="22"/>
        </w:rPr>
        <w:t xml:space="preserve"> de </w:t>
      </w:r>
      <w:r w:rsidR="00C83865" w:rsidRPr="00AB678E">
        <w:rPr>
          <w:rFonts w:ascii="Arial" w:hAnsi="Arial" w:cs="Arial"/>
          <w:b/>
          <w:sz w:val="22"/>
          <w:szCs w:val="22"/>
        </w:rPr>
        <w:t>PM</w:t>
      </w:r>
      <w:r w:rsidR="009D1C37">
        <w:rPr>
          <w:rFonts w:ascii="Arial" w:hAnsi="Arial" w:cs="Arial"/>
          <w:sz w:val="22"/>
          <w:szCs w:val="22"/>
        </w:rPr>
        <w:t xml:space="preserve"> determinadas en la forma</w:t>
      </w:r>
      <w:r>
        <w:rPr>
          <w:rFonts w:ascii="Arial" w:hAnsi="Arial" w:cs="Arial"/>
          <w:sz w:val="22"/>
          <w:szCs w:val="22"/>
        </w:rPr>
        <w:t xml:space="preserve"> señalada</w:t>
      </w:r>
      <w:r w:rsidR="00596F98" w:rsidRPr="00252C1F">
        <w:rPr>
          <w:rFonts w:ascii="Arial" w:hAnsi="Arial" w:cs="Arial"/>
          <w:sz w:val="22"/>
          <w:szCs w:val="22"/>
        </w:rPr>
        <w:t xml:space="preserve"> sean iguales o inferiores al valor equivalente a 50.000 </w:t>
      </w:r>
      <w:r w:rsidRPr="00AB678E">
        <w:rPr>
          <w:rFonts w:ascii="Arial" w:hAnsi="Arial" w:cs="Arial"/>
          <w:b/>
          <w:sz w:val="22"/>
          <w:szCs w:val="22"/>
        </w:rPr>
        <w:t>TMCF</w:t>
      </w:r>
      <w:r w:rsidR="00596F98" w:rsidRPr="00252C1F">
        <w:rPr>
          <w:rFonts w:ascii="Arial" w:hAnsi="Arial" w:cs="Arial"/>
          <w:sz w:val="22"/>
          <w:szCs w:val="22"/>
        </w:rPr>
        <w:t xml:space="preserve"> y superiores al valor equivalente a 12.000 </w:t>
      </w:r>
      <w:r w:rsidRPr="00AB678E">
        <w:rPr>
          <w:rFonts w:ascii="Arial" w:hAnsi="Arial" w:cs="Arial"/>
          <w:b/>
          <w:sz w:val="22"/>
          <w:szCs w:val="22"/>
        </w:rPr>
        <w:t>TMCF</w:t>
      </w:r>
      <w:r w:rsidR="00596F98" w:rsidRPr="00252C1F">
        <w:rPr>
          <w:rFonts w:ascii="Arial" w:hAnsi="Arial" w:cs="Arial"/>
          <w:sz w:val="22"/>
          <w:szCs w:val="22"/>
        </w:rPr>
        <w:t xml:space="preserve">, </w:t>
      </w:r>
      <w:r w:rsidR="0022337C">
        <w:rPr>
          <w:rFonts w:ascii="Arial" w:hAnsi="Arial" w:cs="Arial"/>
          <w:sz w:val="22"/>
          <w:szCs w:val="22"/>
        </w:rPr>
        <w:t>se les</w:t>
      </w:r>
      <w:r w:rsidR="00184B28" w:rsidRPr="00252C1F">
        <w:rPr>
          <w:rFonts w:ascii="Arial" w:hAnsi="Arial" w:cs="Arial"/>
          <w:sz w:val="22"/>
          <w:szCs w:val="22"/>
        </w:rPr>
        <w:t xml:space="preserve"> aplicar</w:t>
      </w:r>
      <w:r w:rsidR="0022337C">
        <w:rPr>
          <w:rFonts w:ascii="Arial" w:hAnsi="Arial" w:cs="Arial"/>
          <w:sz w:val="22"/>
          <w:szCs w:val="22"/>
        </w:rPr>
        <w:t>á</w:t>
      </w:r>
      <w:r w:rsidR="00184B28" w:rsidRPr="00252C1F">
        <w:rPr>
          <w:rFonts w:ascii="Arial" w:hAnsi="Arial" w:cs="Arial"/>
          <w:sz w:val="22"/>
          <w:szCs w:val="22"/>
        </w:rPr>
        <w:t xml:space="preserve"> </w:t>
      </w:r>
      <w:r w:rsidR="0022337C">
        <w:rPr>
          <w:rFonts w:ascii="Arial" w:hAnsi="Arial" w:cs="Arial"/>
          <w:sz w:val="22"/>
          <w:szCs w:val="22"/>
        </w:rPr>
        <w:t xml:space="preserve">una tasa de </w:t>
      </w:r>
      <w:r w:rsidR="0022337C" w:rsidRPr="00AB678E">
        <w:rPr>
          <w:rFonts w:ascii="Arial" w:hAnsi="Arial" w:cs="Arial"/>
          <w:b/>
          <w:sz w:val="22"/>
          <w:szCs w:val="22"/>
        </w:rPr>
        <w:t>IEM</w:t>
      </w:r>
      <w:r w:rsidR="00184B28" w:rsidRPr="00252C1F">
        <w:rPr>
          <w:rFonts w:ascii="Arial" w:hAnsi="Arial" w:cs="Arial"/>
          <w:sz w:val="22"/>
          <w:szCs w:val="22"/>
        </w:rPr>
        <w:t xml:space="preserve"> </w:t>
      </w:r>
      <w:r w:rsidR="00596F98" w:rsidRPr="00252C1F">
        <w:rPr>
          <w:rFonts w:ascii="Arial" w:hAnsi="Arial" w:cs="Arial"/>
          <w:sz w:val="22"/>
          <w:szCs w:val="22"/>
        </w:rPr>
        <w:t xml:space="preserve">equivalente al promedio por tonelada de acuerdo a la escala de </w:t>
      </w:r>
      <w:r w:rsidR="00184B28" w:rsidRPr="00252C1F">
        <w:rPr>
          <w:rFonts w:ascii="Arial" w:hAnsi="Arial" w:cs="Arial"/>
          <w:sz w:val="22"/>
          <w:szCs w:val="22"/>
        </w:rPr>
        <w:t xml:space="preserve">alícuotas </w:t>
      </w:r>
      <w:r w:rsidR="00596F98" w:rsidRPr="00252C1F">
        <w:rPr>
          <w:rFonts w:ascii="Arial" w:hAnsi="Arial" w:cs="Arial"/>
          <w:sz w:val="22"/>
          <w:szCs w:val="22"/>
        </w:rPr>
        <w:t xml:space="preserve">que se </w:t>
      </w:r>
      <w:r w:rsidR="0022337C">
        <w:rPr>
          <w:rFonts w:ascii="Arial" w:hAnsi="Arial" w:cs="Arial"/>
          <w:sz w:val="22"/>
          <w:szCs w:val="22"/>
        </w:rPr>
        <w:t>incluye</w:t>
      </w:r>
      <w:r w:rsidR="00596F98" w:rsidRPr="00252C1F">
        <w:rPr>
          <w:rFonts w:ascii="Arial" w:hAnsi="Arial" w:cs="Arial"/>
          <w:sz w:val="22"/>
          <w:szCs w:val="22"/>
        </w:rPr>
        <w:t xml:space="preserve"> en </w:t>
      </w:r>
      <w:r w:rsidR="0022337C">
        <w:rPr>
          <w:rFonts w:ascii="Arial" w:hAnsi="Arial" w:cs="Arial"/>
          <w:sz w:val="22"/>
          <w:szCs w:val="22"/>
        </w:rPr>
        <w:t xml:space="preserve">el </w:t>
      </w:r>
      <w:r w:rsidR="0093501C">
        <w:rPr>
          <w:rFonts w:ascii="Arial" w:hAnsi="Arial" w:cs="Arial"/>
          <w:b/>
          <w:sz w:val="22"/>
          <w:szCs w:val="22"/>
        </w:rPr>
        <w:t>A</w:t>
      </w:r>
      <w:r w:rsidR="00596F98" w:rsidRPr="0093501C">
        <w:rPr>
          <w:rFonts w:ascii="Arial" w:hAnsi="Arial" w:cs="Arial"/>
          <w:b/>
          <w:sz w:val="22"/>
          <w:szCs w:val="22"/>
        </w:rPr>
        <w:t>nexo N°</w:t>
      </w:r>
      <w:r w:rsidR="00A4487B" w:rsidRPr="0093501C">
        <w:rPr>
          <w:rFonts w:ascii="Arial" w:hAnsi="Arial" w:cs="Arial"/>
          <w:b/>
          <w:sz w:val="22"/>
          <w:szCs w:val="22"/>
        </w:rPr>
        <w:t>1</w:t>
      </w:r>
      <w:r w:rsidR="0022337C">
        <w:rPr>
          <w:rFonts w:ascii="Arial" w:hAnsi="Arial" w:cs="Arial"/>
          <w:sz w:val="22"/>
          <w:szCs w:val="22"/>
        </w:rPr>
        <w:t xml:space="preserve"> de la presente Circular</w:t>
      </w:r>
      <w:r w:rsidR="004D343F" w:rsidRPr="00252C1F">
        <w:rPr>
          <w:rFonts w:ascii="Arial" w:hAnsi="Arial" w:cs="Arial"/>
          <w:sz w:val="22"/>
          <w:szCs w:val="22"/>
        </w:rPr>
        <w:t>.</w:t>
      </w:r>
    </w:p>
    <w:p w:rsidR="009F1327" w:rsidRDefault="009F1327" w:rsidP="009F1327">
      <w:pPr>
        <w:pStyle w:val="NormalWeb"/>
        <w:spacing w:before="0" w:beforeAutospacing="0" w:after="0" w:afterAutospacing="0"/>
        <w:ind w:left="1287"/>
        <w:jc w:val="both"/>
        <w:rPr>
          <w:rFonts w:ascii="Arial" w:hAnsi="Arial" w:cs="Arial"/>
          <w:sz w:val="22"/>
          <w:szCs w:val="22"/>
        </w:rPr>
      </w:pPr>
    </w:p>
    <w:p w:rsidR="00596F98" w:rsidRPr="00252C1F" w:rsidRDefault="0022337C" w:rsidP="00BE4740">
      <w:pPr>
        <w:pStyle w:val="NormalWeb"/>
        <w:numPr>
          <w:ilvl w:val="0"/>
          <w:numId w:val="21"/>
        </w:numPr>
        <w:spacing w:before="0" w:beforeAutospacing="0" w:after="0" w:afterAutospacing="0"/>
        <w:jc w:val="both"/>
        <w:rPr>
          <w:rFonts w:ascii="Arial" w:hAnsi="Arial" w:cs="Arial"/>
          <w:sz w:val="22"/>
          <w:szCs w:val="22"/>
        </w:rPr>
      </w:pPr>
      <w:r>
        <w:rPr>
          <w:rFonts w:ascii="Arial" w:hAnsi="Arial" w:cs="Arial"/>
          <w:sz w:val="22"/>
          <w:szCs w:val="22"/>
        </w:rPr>
        <w:t xml:space="preserve">A </w:t>
      </w:r>
      <w:r w:rsidR="00596F98" w:rsidRPr="00252C1F">
        <w:rPr>
          <w:rFonts w:ascii="Arial" w:hAnsi="Arial" w:cs="Arial"/>
          <w:sz w:val="22"/>
          <w:szCs w:val="22"/>
        </w:rPr>
        <w:t xml:space="preserve">los </w:t>
      </w:r>
      <w:r w:rsidR="005D6ABB" w:rsidRPr="00AB678E">
        <w:rPr>
          <w:rFonts w:ascii="Arial" w:hAnsi="Arial" w:cs="Arial"/>
          <w:b/>
          <w:sz w:val="22"/>
          <w:szCs w:val="22"/>
        </w:rPr>
        <w:t>EM</w:t>
      </w:r>
      <w:r w:rsidR="00596F98" w:rsidRPr="00252C1F">
        <w:rPr>
          <w:rFonts w:ascii="Arial" w:hAnsi="Arial" w:cs="Arial"/>
          <w:sz w:val="22"/>
          <w:szCs w:val="22"/>
        </w:rPr>
        <w:t xml:space="preserve"> cuyas ventas anuales</w:t>
      </w:r>
      <w:r w:rsidR="005D6ABB" w:rsidRPr="00252C1F">
        <w:rPr>
          <w:rFonts w:ascii="Arial" w:hAnsi="Arial" w:cs="Arial"/>
          <w:sz w:val="22"/>
          <w:szCs w:val="22"/>
        </w:rPr>
        <w:t xml:space="preserve"> de </w:t>
      </w:r>
      <w:r w:rsidR="00C83865" w:rsidRPr="00AB678E">
        <w:rPr>
          <w:rFonts w:ascii="Arial" w:hAnsi="Arial" w:cs="Arial"/>
          <w:b/>
          <w:sz w:val="22"/>
          <w:szCs w:val="22"/>
        </w:rPr>
        <w:t>PM</w:t>
      </w:r>
      <w:r>
        <w:rPr>
          <w:rFonts w:ascii="Arial" w:hAnsi="Arial" w:cs="Arial"/>
          <w:sz w:val="22"/>
          <w:szCs w:val="22"/>
        </w:rPr>
        <w:t xml:space="preserve"> determinadas en la forma señalada</w:t>
      </w:r>
      <w:r w:rsidR="00596F98" w:rsidRPr="00252C1F">
        <w:rPr>
          <w:rFonts w:ascii="Arial" w:hAnsi="Arial" w:cs="Arial"/>
          <w:sz w:val="22"/>
          <w:szCs w:val="22"/>
        </w:rPr>
        <w:t xml:space="preserve"> excedan al valor equivalente a 50.000 </w:t>
      </w:r>
      <w:r w:rsidRPr="00AB678E">
        <w:rPr>
          <w:rFonts w:ascii="Arial" w:hAnsi="Arial" w:cs="Arial"/>
          <w:b/>
          <w:sz w:val="22"/>
          <w:szCs w:val="22"/>
        </w:rPr>
        <w:t>TMCF</w:t>
      </w:r>
      <w:r w:rsidR="00596F98" w:rsidRPr="00252C1F">
        <w:rPr>
          <w:rFonts w:ascii="Arial" w:hAnsi="Arial" w:cs="Arial"/>
          <w:sz w:val="22"/>
          <w:szCs w:val="22"/>
        </w:rPr>
        <w:t xml:space="preserve">, la tasa correspondiente al </w:t>
      </w:r>
      <w:r w:rsidRPr="00AB678E">
        <w:rPr>
          <w:rFonts w:ascii="Arial" w:hAnsi="Arial" w:cs="Arial"/>
          <w:b/>
          <w:sz w:val="22"/>
          <w:szCs w:val="22"/>
        </w:rPr>
        <w:t>MOM</w:t>
      </w:r>
      <w:r w:rsidR="00596F98" w:rsidRPr="00252C1F">
        <w:rPr>
          <w:rFonts w:ascii="Arial" w:hAnsi="Arial" w:cs="Arial"/>
          <w:sz w:val="22"/>
          <w:szCs w:val="22"/>
        </w:rPr>
        <w:t xml:space="preserve"> del respectivo ejercicio, </w:t>
      </w:r>
      <w:r w:rsidR="00184B28" w:rsidRPr="00252C1F">
        <w:rPr>
          <w:rFonts w:ascii="Arial" w:hAnsi="Arial" w:cs="Arial"/>
          <w:sz w:val="22"/>
          <w:szCs w:val="22"/>
        </w:rPr>
        <w:t xml:space="preserve">se determinará </w:t>
      </w:r>
      <w:r w:rsidR="00596F98" w:rsidRPr="00252C1F">
        <w:rPr>
          <w:rFonts w:ascii="Arial" w:hAnsi="Arial" w:cs="Arial"/>
          <w:sz w:val="22"/>
          <w:szCs w:val="22"/>
        </w:rPr>
        <w:t>de acuerdo a la tabla que se in</w:t>
      </w:r>
      <w:r>
        <w:rPr>
          <w:rFonts w:ascii="Arial" w:hAnsi="Arial" w:cs="Arial"/>
          <w:sz w:val="22"/>
          <w:szCs w:val="22"/>
        </w:rPr>
        <w:t>cluye</w:t>
      </w:r>
      <w:r w:rsidR="00596F98" w:rsidRPr="00252C1F">
        <w:rPr>
          <w:rFonts w:ascii="Arial" w:hAnsi="Arial" w:cs="Arial"/>
          <w:sz w:val="22"/>
          <w:szCs w:val="22"/>
        </w:rPr>
        <w:t xml:space="preserve"> en</w:t>
      </w:r>
      <w:r>
        <w:rPr>
          <w:rFonts w:ascii="Arial" w:hAnsi="Arial" w:cs="Arial"/>
          <w:sz w:val="22"/>
          <w:szCs w:val="22"/>
        </w:rPr>
        <w:t xml:space="preserve"> el</w:t>
      </w:r>
      <w:r w:rsidR="00596F98" w:rsidRPr="00252C1F">
        <w:rPr>
          <w:rFonts w:ascii="Arial" w:hAnsi="Arial" w:cs="Arial"/>
          <w:sz w:val="22"/>
          <w:szCs w:val="22"/>
        </w:rPr>
        <w:t xml:space="preserve"> </w:t>
      </w:r>
      <w:r w:rsidR="0093501C">
        <w:rPr>
          <w:rFonts w:ascii="Arial" w:hAnsi="Arial" w:cs="Arial"/>
          <w:b/>
          <w:sz w:val="22"/>
          <w:szCs w:val="22"/>
        </w:rPr>
        <w:t>A</w:t>
      </w:r>
      <w:r w:rsidR="00596F98" w:rsidRPr="0093501C">
        <w:rPr>
          <w:rFonts w:ascii="Arial" w:hAnsi="Arial" w:cs="Arial"/>
          <w:b/>
          <w:sz w:val="22"/>
          <w:szCs w:val="22"/>
        </w:rPr>
        <w:t>nexo N°</w:t>
      </w:r>
      <w:r w:rsidR="00B469B1" w:rsidRPr="0093501C">
        <w:rPr>
          <w:rFonts w:ascii="Arial" w:hAnsi="Arial" w:cs="Arial"/>
          <w:b/>
          <w:sz w:val="22"/>
          <w:szCs w:val="22"/>
        </w:rPr>
        <w:t>2</w:t>
      </w:r>
      <w:r>
        <w:rPr>
          <w:rFonts w:ascii="Arial" w:hAnsi="Arial" w:cs="Arial"/>
          <w:sz w:val="22"/>
          <w:szCs w:val="22"/>
        </w:rPr>
        <w:t xml:space="preserve"> de la presente Circular</w:t>
      </w:r>
      <w:r w:rsidR="00B469B1" w:rsidRPr="00252C1F">
        <w:rPr>
          <w:rFonts w:ascii="Arial" w:hAnsi="Arial" w:cs="Arial"/>
          <w:sz w:val="22"/>
          <w:szCs w:val="22"/>
        </w:rPr>
        <w:t>.</w:t>
      </w:r>
    </w:p>
    <w:p w:rsidR="00596F98" w:rsidRPr="00252C1F" w:rsidRDefault="00596F98" w:rsidP="00483E3B">
      <w:pPr>
        <w:tabs>
          <w:tab w:val="left" w:pos="-284"/>
        </w:tabs>
        <w:suppressAutoHyphens/>
        <w:ind w:left="567" w:hanging="567"/>
        <w:jc w:val="both"/>
        <w:rPr>
          <w:rFonts w:ascii="Arial" w:hAnsi="Arial" w:cs="Arial"/>
          <w:b/>
          <w:spacing w:val="-3"/>
          <w:sz w:val="22"/>
          <w:szCs w:val="22"/>
          <w:lang w:val="es-ES_tradnl"/>
        </w:rPr>
      </w:pPr>
    </w:p>
    <w:p w:rsidR="00596F98" w:rsidRPr="00252C1F" w:rsidRDefault="00596F98" w:rsidP="009D22D5">
      <w:pPr>
        <w:numPr>
          <w:ilvl w:val="0"/>
          <w:numId w:val="19"/>
        </w:numPr>
        <w:tabs>
          <w:tab w:val="left" w:pos="-284"/>
        </w:tabs>
        <w:suppressAutoHyphens/>
        <w:jc w:val="both"/>
        <w:rPr>
          <w:rFonts w:ascii="Arial" w:hAnsi="Arial" w:cs="Arial"/>
          <w:b/>
          <w:bCs/>
          <w:sz w:val="22"/>
          <w:szCs w:val="22"/>
        </w:rPr>
      </w:pPr>
      <w:r w:rsidRPr="00252C1F">
        <w:rPr>
          <w:rFonts w:ascii="Arial" w:hAnsi="Arial" w:cs="Arial"/>
          <w:b/>
          <w:bCs/>
          <w:sz w:val="22"/>
          <w:szCs w:val="22"/>
        </w:rPr>
        <w:t xml:space="preserve">Ventas </w:t>
      </w:r>
      <w:r w:rsidR="00C83865" w:rsidRPr="00252C1F">
        <w:rPr>
          <w:rFonts w:ascii="Arial" w:hAnsi="Arial" w:cs="Arial"/>
          <w:b/>
          <w:bCs/>
          <w:sz w:val="22"/>
          <w:szCs w:val="22"/>
        </w:rPr>
        <w:t xml:space="preserve">de PM </w:t>
      </w:r>
      <w:r w:rsidRPr="00252C1F">
        <w:rPr>
          <w:rFonts w:ascii="Arial" w:hAnsi="Arial" w:cs="Arial"/>
          <w:b/>
          <w:bCs/>
          <w:sz w:val="22"/>
          <w:szCs w:val="22"/>
        </w:rPr>
        <w:t>a considerar.</w:t>
      </w:r>
    </w:p>
    <w:p w:rsidR="001A28AC" w:rsidRDefault="00DB3E41" w:rsidP="001A28AC">
      <w:pPr>
        <w:pStyle w:val="NormalWeb"/>
        <w:ind w:left="567"/>
        <w:jc w:val="both"/>
        <w:rPr>
          <w:rFonts w:ascii="Arial" w:hAnsi="Arial" w:cs="Arial"/>
          <w:sz w:val="22"/>
          <w:szCs w:val="22"/>
        </w:rPr>
      </w:pPr>
      <w:r w:rsidRPr="00252C1F">
        <w:rPr>
          <w:rFonts w:ascii="Arial" w:hAnsi="Arial" w:cs="Arial"/>
          <w:sz w:val="22"/>
          <w:szCs w:val="22"/>
        </w:rPr>
        <w:t>La letra d)</w:t>
      </w:r>
      <w:r w:rsidR="00E6365A" w:rsidRPr="00252C1F">
        <w:rPr>
          <w:rFonts w:ascii="Arial" w:hAnsi="Arial" w:cs="Arial"/>
          <w:sz w:val="22"/>
          <w:szCs w:val="22"/>
        </w:rPr>
        <w:t>,</w:t>
      </w:r>
      <w:r w:rsidRPr="00252C1F">
        <w:rPr>
          <w:rFonts w:ascii="Arial" w:hAnsi="Arial" w:cs="Arial"/>
          <w:sz w:val="22"/>
          <w:szCs w:val="22"/>
        </w:rPr>
        <w:t xml:space="preserve"> del </w:t>
      </w:r>
      <w:r w:rsidR="000B581C" w:rsidRPr="00252C1F">
        <w:rPr>
          <w:rFonts w:ascii="Arial" w:hAnsi="Arial" w:cs="Arial"/>
          <w:sz w:val="22"/>
          <w:szCs w:val="22"/>
        </w:rPr>
        <w:t>inciso 3°</w:t>
      </w:r>
      <w:r w:rsidR="00E6365A" w:rsidRPr="00252C1F">
        <w:rPr>
          <w:rFonts w:ascii="Arial" w:hAnsi="Arial" w:cs="Arial"/>
          <w:sz w:val="22"/>
          <w:szCs w:val="22"/>
        </w:rPr>
        <w:t>,</w:t>
      </w:r>
      <w:r w:rsidR="000B581C" w:rsidRPr="00252C1F">
        <w:rPr>
          <w:rFonts w:ascii="Arial" w:hAnsi="Arial" w:cs="Arial"/>
          <w:sz w:val="22"/>
          <w:szCs w:val="22"/>
        </w:rPr>
        <w:t xml:space="preserve"> del </w:t>
      </w:r>
      <w:r w:rsidRPr="00252C1F">
        <w:rPr>
          <w:rFonts w:ascii="Arial" w:hAnsi="Arial" w:cs="Arial"/>
          <w:sz w:val="22"/>
          <w:szCs w:val="22"/>
        </w:rPr>
        <w:t xml:space="preserve">artículo </w:t>
      </w:r>
      <w:r w:rsidR="000B581C" w:rsidRPr="00252C1F">
        <w:rPr>
          <w:rFonts w:ascii="Arial" w:hAnsi="Arial" w:cs="Arial"/>
          <w:sz w:val="22"/>
          <w:szCs w:val="22"/>
        </w:rPr>
        <w:t>64 bis</w:t>
      </w:r>
      <w:r w:rsidRPr="00252C1F">
        <w:rPr>
          <w:rFonts w:ascii="Arial" w:hAnsi="Arial" w:cs="Arial"/>
          <w:sz w:val="22"/>
          <w:szCs w:val="22"/>
        </w:rPr>
        <w:t xml:space="preserve">, </w:t>
      </w:r>
      <w:r w:rsidR="000B581C" w:rsidRPr="00252C1F">
        <w:rPr>
          <w:rFonts w:ascii="Arial" w:hAnsi="Arial" w:cs="Arial"/>
          <w:sz w:val="22"/>
          <w:szCs w:val="22"/>
        </w:rPr>
        <w:t>de la LIR</w:t>
      </w:r>
      <w:r w:rsidRPr="00252C1F">
        <w:rPr>
          <w:rFonts w:ascii="Arial" w:hAnsi="Arial" w:cs="Arial"/>
          <w:sz w:val="22"/>
          <w:szCs w:val="22"/>
        </w:rPr>
        <w:t>, dispone que p</w:t>
      </w:r>
      <w:r w:rsidR="00596F98" w:rsidRPr="00252C1F">
        <w:rPr>
          <w:rFonts w:ascii="Arial" w:hAnsi="Arial" w:cs="Arial"/>
          <w:sz w:val="22"/>
          <w:szCs w:val="22"/>
        </w:rPr>
        <w:t>ara los efectos de determinar el régimen tributario aplicable</w:t>
      </w:r>
      <w:r w:rsidR="0093501C">
        <w:rPr>
          <w:rFonts w:ascii="Arial" w:hAnsi="Arial" w:cs="Arial"/>
          <w:sz w:val="22"/>
          <w:szCs w:val="22"/>
        </w:rPr>
        <w:t xml:space="preserve"> del </w:t>
      </w:r>
      <w:r w:rsidR="0093501C" w:rsidRPr="0093501C">
        <w:rPr>
          <w:rFonts w:ascii="Arial" w:hAnsi="Arial" w:cs="Arial"/>
          <w:b/>
          <w:sz w:val="22"/>
          <w:szCs w:val="22"/>
        </w:rPr>
        <w:t>IEM</w:t>
      </w:r>
      <w:r w:rsidR="00E6365A" w:rsidRPr="00252C1F">
        <w:rPr>
          <w:rFonts w:ascii="Arial" w:hAnsi="Arial" w:cs="Arial"/>
          <w:sz w:val="22"/>
          <w:szCs w:val="22"/>
        </w:rPr>
        <w:t>,</w:t>
      </w:r>
      <w:r w:rsidR="00596F98" w:rsidRPr="00252C1F">
        <w:rPr>
          <w:rFonts w:ascii="Arial" w:hAnsi="Arial" w:cs="Arial"/>
          <w:sz w:val="22"/>
          <w:szCs w:val="22"/>
        </w:rPr>
        <w:t xml:space="preserve"> se deberá considerar el valor total de venta de </w:t>
      </w:r>
      <w:r w:rsidR="00E6365A" w:rsidRPr="00797998">
        <w:rPr>
          <w:rFonts w:ascii="Arial" w:hAnsi="Arial" w:cs="Arial"/>
          <w:b/>
          <w:sz w:val="22"/>
          <w:szCs w:val="22"/>
        </w:rPr>
        <w:t>PM</w:t>
      </w:r>
      <w:r w:rsidR="00596F98" w:rsidRPr="00252C1F">
        <w:rPr>
          <w:rFonts w:ascii="Arial" w:hAnsi="Arial" w:cs="Arial"/>
          <w:sz w:val="22"/>
          <w:szCs w:val="22"/>
        </w:rPr>
        <w:t xml:space="preserve"> del </w:t>
      </w:r>
      <w:r w:rsidR="00596F98" w:rsidRPr="009F1327">
        <w:rPr>
          <w:rFonts w:ascii="Arial" w:hAnsi="Arial" w:cs="Arial"/>
          <w:i/>
          <w:sz w:val="22"/>
          <w:szCs w:val="22"/>
        </w:rPr>
        <w:t xml:space="preserve">conjunto de personas relacionadas con el </w:t>
      </w:r>
      <w:r w:rsidR="00E6365A" w:rsidRPr="009F1327">
        <w:rPr>
          <w:rFonts w:ascii="Arial" w:hAnsi="Arial" w:cs="Arial"/>
          <w:b/>
          <w:i/>
          <w:sz w:val="22"/>
          <w:szCs w:val="22"/>
        </w:rPr>
        <w:t>EM</w:t>
      </w:r>
      <w:r w:rsidR="00596F98" w:rsidRPr="00252C1F">
        <w:rPr>
          <w:rFonts w:ascii="Arial" w:hAnsi="Arial" w:cs="Arial"/>
          <w:sz w:val="22"/>
          <w:szCs w:val="22"/>
        </w:rPr>
        <w:t xml:space="preserve">, que puedan ser considerados </w:t>
      </w:r>
      <w:r w:rsidR="00E6365A" w:rsidRPr="00797998">
        <w:rPr>
          <w:rFonts w:ascii="Arial" w:hAnsi="Arial" w:cs="Arial"/>
          <w:b/>
          <w:sz w:val="22"/>
          <w:szCs w:val="22"/>
        </w:rPr>
        <w:t>EM</w:t>
      </w:r>
      <w:r w:rsidR="00596F98" w:rsidRPr="00252C1F">
        <w:rPr>
          <w:rFonts w:ascii="Arial" w:hAnsi="Arial" w:cs="Arial"/>
          <w:sz w:val="22"/>
          <w:szCs w:val="22"/>
        </w:rPr>
        <w:t xml:space="preserve"> de acuerdo a la definición indicada en el  N°</w:t>
      </w:r>
      <w:r w:rsidR="00E41A3E" w:rsidRPr="002203F2">
        <w:rPr>
          <w:rFonts w:ascii="Arial" w:hAnsi="Arial" w:cs="Arial"/>
          <w:b/>
          <w:sz w:val="22"/>
          <w:szCs w:val="22"/>
        </w:rPr>
        <w:t>(</w:t>
      </w:r>
      <w:r w:rsidR="00596F98" w:rsidRPr="002203F2">
        <w:rPr>
          <w:rFonts w:ascii="Arial" w:hAnsi="Arial" w:cs="Arial"/>
          <w:b/>
          <w:sz w:val="22"/>
          <w:szCs w:val="22"/>
        </w:rPr>
        <w:t>1</w:t>
      </w:r>
      <w:r w:rsidR="00E41A3E" w:rsidRPr="002203F2">
        <w:rPr>
          <w:rFonts w:ascii="Arial" w:hAnsi="Arial" w:cs="Arial"/>
          <w:b/>
          <w:sz w:val="22"/>
          <w:szCs w:val="22"/>
        </w:rPr>
        <w:t>)</w:t>
      </w:r>
      <w:r w:rsidR="00596F98" w:rsidRPr="002203F2">
        <w:rPr>
          <w:rFonts w:ascii="Arial" w:hAnsi="Arial" w:cs="Arial"/>
          <w:b/>
          <w:sz w:val="22"/>
          <w:szCs w:val="22"/>
        </w:rPr>
        <w:t xml:space="preserve"> </w:t>
      </w:r>
      <w:r w:rsidR="00596F98" w:rsidRPr="00252C1F">
        <w:rPr>
          <w:rFonts w:ascii="Arial" w:hAnsi="Arial" w:cs="Arial"/>
          <w:sz w:val="22"/>
          <w:szCs w:val="22"/>
        </w:rPr>
        <w:t xml:space="preserve">anterior, y que realicen dichas ventas. </w:t>
      </w:r>
      <w:r w:rsidR="001A28AC">
        <w:rPr>
          <w:rFonts w:ascii="Arial" w:hAnsi="Arial" w:cs="Arial"/>
          <w:sz w:val="22"/>
          <w:szCs w:val="22"/>
        </w:rPr>
        <w:t>Lo anterior se explica de la siguiente manera:</w:t>
      </w:r>
    </w:p>
    <w:p w:rsidR="003C2514" w:rsidRPr="001938B2" w:rsidRDefault="005F7184" w:rsidP="009F1327">
      <w:pPr>
        <w:pStyle w:val="NormalWeb"/>
        <w:numPr>
          <w:ilvl w:val="0"/>
          <w:numId w:val="30"/>
        </w:numPr>
        <w:spacing w:before="0" w:beforeAutospacing="0" w:after="0" w:afterAutospacing="0"/>
        <w:jc w:val="both"/>
        <w:rPr>
          <w:rFonts w:ascii="Arial" w:hAnsi="Arial" w:cs="Arial"/>
          <w:sz w:val="22"/>
          <w:szCs w:val="22"/>
        </w:rPr>
      </w:pPr>
      <w:r>
        <w:rPr>
          <w:rFonts w:ascii="Arial" w:hAnsi="Arial" w:cs="Arial"/>
          <w:sz w:val="22"/>
          <w:szCs w:val="22"/>
        </w:rPr>
        <w:t xml:space="preserve">Si </w:t>
      </w:r>
      <w:r w:rsidR="0093501C">
        <w:rPr>
          <w:rFonts w:ascii="Arial" w:hAnsi="Arial" w:cs="Arial"/>
          <w:sz w:val="22"/>
          <w:szCs w:val="22"/>
        </w:rPr>
        <w:t xml:space="preserve">de </w:t>
      </w:r>
      <w:r w:rsidR="001A28AC" w:rsidRPr="001938B2">
        <w:rPr>
          <w:rFonts w:ascii="Arial" w:hAnsi="Arial" w:cs="Arial"/>
          <w:sz w:val="22"/>
          <w:szCs w:val="22"/>
        </w:rPr>
        <w:t>la sumatoria de la ventas propias</w:t>
      </w:r>
      <w:r w:rsidR="003C2514" w:rsidRPr="001938B2">
        <w:rPr>
          <w:rFonts w:ascii="Arial" w:hAnsi="Arial" w:cs="Arial"/>
          <w:sz w:val="22"/>
          <w:szCs w:val="22"/>
        </w:rPr>
        <w:t xml:space="preserve"> del contribuyente y de las ven</w:t>
      </w:r>
      <w:r w:rsidR="001A28AC" w:rsidRPr="001938B2">
        <w:rPr>
          <w:rFonts w:ascii="Arial" w:hAnsi="Arial" w:cs="Arial"/>
          <w:sz w:val="22"/>
          <w:szCs w:val="22"/>
        </w:rPr>
        <w:t>t</w:t>
      </w:r>
      <w:r w:rsidR="003C2514" w:rsidRPr="001938B2">
        <w:rPr>
          <w:rFonts w:ascii="Arial" w:hAnsi="Arial" w:cs="Arial"/>
          <w:sz w:val="22"/>
          <w:szCs w:val="22"/>
        </w:rPr>
        <w:t>a</w:t>
      </w:r>
      <w:r w:rsidR="001A28AC" w:rsidRPr="001938B2">
        <w:rPr>
          <w:rFonts w:ascii="Arial" w:hAnsi="Arial" w:cs="Arial"/>
          <w:sz w:val="22"/>
          <w:szCs w:val="22"/>
        </w:rPr>
        <w:t>s de sus pe</w:t>
      </w:r>
      <w:r w:rsidR="003C2514" w:rsidRPr="001938B2">
        <w:rPr>
          <w:rFonts w:ascii="Arial" w:hAnsi="Arial" w:cs="Arial"/>
          <w:sz w:val="22"/>
          <w:szCs w:val="22"/>
        </w:rPr>
        <w:t>r</w:t>
      </w:r>
      <w:r w:rsidR="001A28AC" w:rsidRPr="001938B2">
        <w:rPr>
          <w:rFonts w:ascii="Arial" w:hAnsi="Arial" w:cs="Arial"/>
          <w:sz w:val="22"/>
          <w:szCs w:val="22"/>
        </w:rPr>
        <w:t>sonas relacionadas resu</w:t>
      </w:r>
      <w:r w:rsidR="00A5081B">
        <w:rPr>
          <w:rFonts w:ascii="Arial" w:hAnsi="Arial" w:cs="Arial"/>
          <w:sz w:val="22"/>
          <w:szCs w:val="22"/>
        </w:rPr>
        <w:t>lta</w:t>
      </w:r>
      <w:r w:rsidR="001A28AC" w:rsidRPr="001938B2">
        <w:rPr>
          <w:rFonts w:ascii="Arial" w:hAnsi="Arial" w:cs="Arial"/>
          <w:sz w:val="22"/>
          <w:szCs w:val="22"/>
        </w:rPr>
        <w:t xml:space="preserve"> una cantidad </w:t>
      </w:r>
      <w:r w:rsidR="003C2514" w:rsidRPr="001938B2">
        <w:rPr>
          <w:rFonts w:ascii="Arial" w:hAnsi="Arial" w:cs="Arial"/>
          <w:sz w:val="22"/>
          <w:szCs w:val="22"/>
        </w:rPr>
        <w:t xml:space="preserve">igual o inferior al valor equivalente a 12.000 </w:t>
      </w:r>
      <w:r w:rsidR="003C2514" w:rsidRPr="001938B2">
        <w:rPr>
          <w:rFonts w:ascii="Arial" w:hAnsi="Arial" w:cs="Arial"/>
          <w:b/>
          <w:sz w:val="22"/>
          <w:szCs w:val="22"/>
        </w:rPr>
        <w:t>TMCF</w:t>
      </w:r>
      <w:r w:rsidR="003C2514" w:rsidRPr="001938B2">
        <w:rPr>
          <w:rFonts w:ascii="Arial" w:hAnsi="Arial" w:cs="Arial"/>
          <w:sz w:val="22"/>
          <w:szCs w:val="22"/>
        </w:rPr>
        <w:t>, el contribuyente no se grava con el impuesto;</w:t>
      </w:r>
    </w:p>
    <w:p w:rsidR="009F1327" w:rsidRDefault="009F1327" w:rsidP="009F1327">
      <w:pPr>
        <w:pStyle w:val="NormalWeb"/>
        <w:spacing w:before="0" w:beforeAutospacing="0" w:after="0" w:afterAutospacing="0"/>
        <w:ind w:left="1287"/>
        <w:jc w:val="both"/>
        <w:rPr>
          <w:rFonts w:ascii="Arial" w:hAnsi="Arial" w:cs="Arial"/>
          <w:sz w:val="22"/>
          <w:szCs w:val="22"/>
        </w:rPr>
      </w:pPr>
    </w:p>
    <w:p w:rsidR="00CD74A8" w:rsidRPr="001938B2" w:rsidRDefault="00EB013E" w:rsidP="009F1327">
      <w:pPr>
        <w:pStyle w:val="NormalWeb"/>
        <w:numPr>
          <w:ilvl w:val="0"/>
          <w:numId w:val="30"/>
        </w:numPr>
        <w:spacing w:before="0" w:beforeAutospacing="0" w:after="0" w:afterAutospacing="0"/>
        <w:jc w:val="both"/>
        <w:rPr>
          <w:rFonts w:ascii="Arial" w:hAnsi="Arial" w:cs="Arial"/>
          <w:sz w:val="22"/>
          <w:szCs w:val="22"/>
        </w:rPr>
      </w:pPr>
      <w:r>
        <w:rPr>
          <w:rFonts w:ascii="Arial" w:hAnsi="Arial" w:cs="Arial"/>
          <w:sz w:val="22"/>
          <w:szCs w:val="22"/>
        </w:rPr>
        <w:t>S</w:t>
      </w:r>
      <w:r w:rsidR="003C2514" w:rsidRPr="001938B2">
        <w:rPr>
          <w:rFonts w:ascii="Arial" w:hAnsi="Arial" w:cs="Arial"/>
          <w:sz w:val="22"/>
          <w:szCs w:val="22"/>
        </w:rPr>
        <w:t xml:space="preserve">i de la sumatoria </w:t>
      </w:r>
      <w:r w:rsidR="001938B2">
        <w:rPr>
          <w:rFonts w:ascii="Arial" w:hAnsi="Arial" w:cs="Arial"/>
          <w:sz w:val="22"/>
          <w:szCs w:val="22"/>
        </w:rPr>
        <w:t xml:space="preserve">señalada </w:t>
      </w:r>
      <w:r w:rsidR="003C2514" w:rsidRPr="001938B2">
        <w:rPr>
          <w:rFonts w:ascii="Arial" w:hAnsi="Arial" w:cs="Arial"/>
          <w:sz w:val="22"/>
          <w:szCs w:val="22"/>
        </w:rPr>
        <w:t xml:space="preserve">en el literal anterior resulta una cantidad superior a la </w:t>
      </w:r>
      <w:r w:rsidR="00A82F49">
        <w:rPr>
          <w:rFonts w:ascii="Arial" w:hAnsi="Arial" w:cs="Arial"/>
          <w:sz w:val="22"/>
          <w:szCs w:val="22"/>
        </w:rPr>
        <w:t>expresada</w:t>
      </w:r>
      <w:r w:rsidR="003C2514" w:rsidRPr="001938B2">
        <w:rPr>
          <w:rFonts w:ascii="Arial" w:hAnsi="Arial" w:cs="Arial"/>
          <w:sz w:val="22"/>
          <w:szCs w:val="22"/>
        </w:rPr>
        <w:t xml:space="preserve">, pero de un monto igual o inferior al equivalente a 50.000 </w:t>
      </w:r>
      <w:r w:rsidR="003C2514" w:rsidRPr="001938B2">
        <w:rPr>
          <w:rFonts w:ascii="Arial" w:hAnsi="Arial" w:cs="Arial"/>
          <w:b/>
          <w:sz w:val="22"/>
          <w:szCs w:val="22"/>
        </w:rPr>
        <w:t>TMCF</w:t>
      </w:r>
      <w:r w:rsidR="00CD74A8" w:rsidRPr="001938B2">
        <w:rPr>
          <w:rFonts w:ascii="Arial" w:hAnsi="Arial" w:cs="Arial"/>
          <w:sz w:val="22"/>
          <w:szCs w:val="22"/>
        </w:rPr>
        <w:t xml:space="preserve">, </w:t>
      </w:r>
      <w:r w:rsidR="003C2514" w:rsidRPr="001938B2">
        <w:rPr>
          <w:rFonts w:ascii="Arial" w:hAnsi="Arial" w:cs="Arial"/>
          <w:sz w:val="22"/>
          <w:szCs w:val="22"/>
        </w:rPr>
        <w:t>l</w:t>
      </w:r>
      <w:r w:rsidR="00CD74A8" w:rsidRPr="001938B2">
        <w:rPr>
          <w:rFonts w:ascii="Arial" w:hAnsi="Arial" w:cs="Arial"/>
          <w:sz w:val="22"/>
          <w:szCs w:val="22"/>
        </w:rPr>
        <w:t>os</w:t>
      </w:r>
      <w:r w:rsidR="003C2514" w:rsidRPr="001938B2">
        <w:rPr>
          <w:rFonts w:ascii="Arial" w:hAnsi="Arial" w:cs="Arial"/>
          <w:sz w:val="22"/>
          <w:szCs w:val="22"/>
        </w:rPr>
        <w:t xml:space="preserve"> contribuyente</w:t>
      </w:r>
      <w:r w:rsidR="00CD74A8" w:rsidRPr="001938B2">
        <w:rPr>
          <w:rFonts w:ascii="Arial" w:hAnsi="Arial" w:cs="Arial"/>
          <w:sz w:val="22"/>
          <w:szCs w:val="22"/>
        </w:rPr>
        <w:t>s</w:t>
      </w:r>
      <w:r w:rsidR="003C2514" w:rsidRPr="001938B2">
        <w:rPr>
          <w:rFonts w:ascii="Arial" w:hAnsi="Arial" w:cs="Arial"/>
          <w:sz w:val="22"/>
          <w:szCs w:val="22"/>
        </w:rPr>
        <w:t xml:space="preserve"> se gravará</w:t>
      </w:r>
      <w:r w:rsidR="00CD74A8" w:rsidRPr="001938B2">
        <w:rPr>
          <w:rFonts w:ascii="Arial" w:hAnsi="Arial" w:cs="Arial"/>
          <w:sz w:val="22"/>
          <w:szCs w:val="22"/>
        </w:rPr>
        <w:t>n</w:t>
      </w:r>
      <w:r w:rsidR="003C2514" w:rsidRPr="001938B2">
        <w:rPr>
          <w:rFonts w:ascii="Arial" w:hAnsi="Arial" w:cs="Arial"/>
          <w:sz w:val="22"/>
          <w:szCs w:val="22"/>
        </w:rPr>
        <w:t xml:space="preserve"> con las tasas que resulten de aplicar la escala</w:t>
      </w:r>
      <w:r w:rsidR="00CD74A8" w:rsidRPr="001938B2">
        <w:rPr>
          <w:rFonts w:ascii="Arial" w:hAnsi="Arial" w:cs="Arial"/>
          <w:sz w:val="22"/>
          <w:szCs w:val="22"/>
        </w:rPr>
        <w:t xml:space="preserve"> </w:t>
      </w:r>
      <w:r w:rsidR="00A5081B">
        <w:rPr>
          <w:rFonts w:ascii="Arial" w:hAnsi="Arial" w:cs="Arial"/>
          <w:sz w:val="22"/>
          <w:szCs w:val="22"/>
        </w:rPr>
        <w:t>de</w:t>
      </w:r>
      <w:r w:rsidR="00CD74A8" w:rsidRPr="001938B2">
        <w:rPr>
          <w:rFonts w:ascii="Arial" w:hAnsi="Arial" w:cs="Arial"/>
          <w:sz w:val="22"/>
          <w:szCs w:val="22"/>
        </w:rPr>
        <w:t xml:space="preserve"> la letra b) del mismo inciso y artículo;</w:t>
      </w:r>
    </w:p>
    <w:p w:rsidR="009F1327" w:rsidRDefault="009F1327" w:rsidP="009F1327">
      <w:pPr>
        <w:pStyle w:val="NormalWeb"/>
        <w:spacing w:before="0" w:beforeAutospacing="0" w:after="0" w:afterAutospacing="0"/>
        <w:ind w:left="1287"/>
        <w:jc w:val="both"/>
        <w:rPr>
          <w:rFonts w:ascii="Arial" w:hAnsi="Arial" w:cs="Arial"/>
          <w:sz w:val="22"/>
          <w:szCs w:val="22"/>
        </w:rPr>
      </w:pPr>
    </w:p>
    <w:p w:rsidR="003A272C" w:rsidRPr="00A82F49" w:rsidRDefault="00CD74A8" w:rsidP="009F1327">
      <w:pPr>
        <w:pStyle w:val="NormalWeb"/>
        <w:numPr>
          <w:ilvl w:val="0"/>
          <w:numId w:val="30"/>
        </w:numPr>
        <w:spacing w:before="0" w:beforeAutospacing="0" w:after="0" w:afterAutospacing="0"/>
        <w:jc w:val="both"/>
        <w:rPr>
          <w:rFonts w:ascii="Arial" w:hAnsi="Arial" w:cs="Arial"/>
          <w:sz w:val="22"/>
          <w:szCs w:val="22"/>
        </w:rPr>
      </w:pPr>
      <w:r w:rsidRPr="00A82F49">
        <w:rPr>
          <w:rFonts w:ascii="Arial" w:hAnsi="Arial" w:cs="Arial"/>
          <w:sz w:val="22"/>
          <w:szCs w:val="22"/>
        </w:rPr>
        <w:t xml:space="preserve">Finalmente, cuando la sumatoria descrita excede al valor equivalente a 50.000 </w:t>
      </w:r>
      <w:r w:rsidRPr="00A82F49">
        <w:rPr>
          <w:rFonts w:ascii="Arial" w:hAnsi="Arial" w:cs="Arial"/>
          <w:b/>
          <w:sz w:val="22"/>
          <w:szCs w:val="22"/>
        </w:rPr>
        <w:t>TMCF</w:t>
      </w:r>
      <w:r w:rsidRPr="00A82F49">
        <w:rPr>
          <w:rFonts w:ascii="Arial" w:hAnsi="Arial" w:cs="Arial"/>
          <w:sz w:val="22"/>
          <w:szCs w:val="22"/>
        </w:rPr>
        <w:t xml:space="preserve">, la tasa se determinará de acuerdo a la escala que señala la </w:t>
      </w:r>
      <w:r w:rsidR="00A5081B">
        <w:rPr>
          <w:rFonts w:ascii="Arial" w:hAnsi="Arial" w:cs="Arial"/>
          <w:sz w:val="22"/>
          <w:szCs w:val="22"/>
        </w:rPr>
        <w:t>letra c), del inciso 3°, del artículo 64 bis de la LIR</w:t>
      </w:r>
      <w:r w:rsidRPr="00A82F49">
        <w:rPr>
          <w:rFonts w:ascii="Arial" w:hAnsi="Arial" w:cs="Arial"/>
          <w:sz w:val="22"/>
          <w:szCs w:val="22"/>
        </w:rPr>
        <w:t xml:space="preserve">, según el </w:t>
      </w:r>
      <w:r w:rsidRPr="00A82F49">
        <w:rPr>
          <w:rFonts w:ascii="Arial" w:hAnsi="Arial" w:cs="Arial"/>
          <w:b/>
          <w:sz w:val="22"/>
          <w:szCs w:val="22"/>
        </w:rPr>
        <w:t>MOM</w:t>
      </w:r>
      <w:r w:rsidRPr="00A82F49">
        <w:rPr>
          <w:rFonts w:ascii="Arial" w:hAnsi="Arial" w:cs="Arial"/>
          <w:sz w:val="22"/>
          <w:szCs w:val="22"/>
        </w:rPr>
        <w:t xml:space="preserve"> del contribuyente.</w:t>
      </w:r>
      <w:r w:rsidR="006E770B">
        <w:rPr>
          <w:rFonts w:ascii="Arial" w:hAnsi="Arial" w:cs="Arial"/>
          <w:sz w:val="22"/>
          <w:szCs w:val="22"/>
        </w:rPr>
        <w:t xml:space="preserve"> </w:t>
      </w:r>
      <w:r w:rsidR="00A5081B">
        <w:rPr>
          <w:rFonts w:ascii="Arial" w:hAnsi="Arial" w:cs="Arial"/>
          <w:sz w:val="22"/>
          <w:szCs w:val="22"/>
        </w:rPr>
        <w:t>Sin embargo, una vez que se haya determinado que corresponde agregar las reglas de esta letra, pa</w:t>
      </w:r>
      <w:r w:rsidR="006E770B">
        <w:rPr>
          <w:rFonts w:ascii="Arial" w:hAnsi="Arial" w:cs="Arial"/>
          <w:sz w:val="22"/>
          <w:szCs w:val="22"/>
        </w:rPr>
        <w:t xml:space="preserve">ra la determinación de </w:t>
      </w:r>
      <w:r w:rsidR="00A5081B">
        <w:rPr>
          <w:rFonts w:ascii="Arial" w:hAnsi="Arial" w:cs="Arial"/>
          <w:sz w:val="22"/>
          <w:szCs w:val="22"/>
        </w:rPr>
        <w:t xml:space="preserve">las </w:t>
      </w:r>
      <w:r w:rsidR="006E770B">
        <w:rPr>
          <w:rFonts w:ascii="Arial" w:hAnsi="Arial" w:cs="Arial"/>
          <w:sz w:val="22"/>
          <w:szCs w:val="22"/>
        </w:rPr>
        <w:t>tasa</w:t>
      </w:r>
      <w:r w:rsidR="00771224">
        <w:rPr>
          <w:rFonts w:ascii="Arial" w:hAnsi="Arial" w:cs="Arial"/>
          <w:sz w:val="22"/>
          <w:szCs w:val="22"/>
        </w:rPr>
        <w:t>s</w:t>
      </w:r>
      <w:r w:rsidR="00A5081B">
        <w:rPr>
          <w:rFonts w:ascii="Arial" w:hAnsi="Arial" w:cs="Arial"/>
          <w:sz w:val="22"/>
          <w:szCs w:val="22"/>
        </w:rPr>
        <w:t xml:space="preserve"> que en definitiva resulten aplicables al contribuyente</w:t>
      </w:r>
      <w:r w:rsidR="006E770B">
        <w:rPr>
          <w:rFonts w:ascii="Arial" w:hAnsi="Arial" w:cs="Arial"/>
          <w:sz w:val="22"/>
          <w:szCs w:val="22"/>
        </w:rPr>
        <w:t xml:space="preserve">, no se considerarán las ventas de </w:t>
      </w:r>
      <w:r w:rsidR="006E770B" w:rsidRPr="00EB013E">
        <w:rPr>
          <w:rFonts w:ascii="Arial" w:hAnsi="Arial" w:cs="Arial"/>
          <w:b/>
          <w:sz w:val="22"/>
          <w:szCs w:val="22"/>
        </w:rPr>
        <w:t>PM</w:t>
      </w:r>
      <w:r w:rsidR="006E770B">
        <w:rPr>
          <w:rFonts w:ascii="Arial" w:hAnsi="Arial" w:cs="Arial"/>
          <w:sz w:val="22"/>
          <w:szCs w:val="22"/>
        </w:rPr>
        <w:t xml:space="preserve"> de las personas relacionadas del contribuyente, dado que la Ley no las incluyó</w:t>
      </w:r>
      <w:r w:rsidR="00771224">
        <w:rPr>
          <w:rFonts w:ascii="Arial" w:hAnsi="Arial" w:cs="Arial"/>
          <w:sz w:val="22"/>
          <w:szCs w:val="22"/>
        </w:rPr>
        <w:t xml:space="preserve"> en los elementos que forma</w:t>
      </w:r>
      <w:r w:rsidR="0049102C">
        <w:rPr>
          <w:rFonts w:ascii="Arial" w:hAnsi="Arial" w:cs="Arial"/>
          <w:sz w:val="22"/>
          <w:szCs w:val="22"/>
        </w:rPr>
        <w:t>n</w:t>
      </w:r>
      <w:r w:rsidR="00771224">
        <w:rPr>
          <w:rFonts w:ascii="Arial" w:hAnsi="Arial" w:cs="Arial"/>
          <w:sz w:val="22"/>
          <w:szCs w:val="22"/>
        </w:rPr>
        <w:t xml:space="preserve"> parte de la determinación del </w:t>
      </w:r>
      <w:r w:rsidR="00771224" w:rsidRPr="00771224">
        <w:rPr>
          <w:rFonts w:ascii="Arial" w:hAnsi="Arial" w:cs="Arial"/>
          <w:b/>
          <w:sz w:val="22"/>
          <w:szCs w:val="22"/>
        </w:rPr>
        <w:t>MOM</w:t>
      </w:r>
      <w:r w:rsidR="00771224">
        <w:rPr>
          <w:rFonts w:ascii="Arial" w:hAnsi="Arial" w:cs="Arial"/>
          <w:sz w:val="22"/>
          <w:szCs w:val="22"/>
        </w:rPr>
        <w:t>.</w:t>
      </w:r>
      <w:r w:rsidRPr="00A82F49">
        <w:rPr>
          <w:rFonts w:ascii="Arial" w:hAnsi="Arial" w:cs="Arial"/>
          <w:sz w:val="22"/>
          <w:szCs w:val="22"/>
        </w:rPr>
        <w:t xml:space="preserve"> </w:t>
      </w:r>
    </w:p>
    <w:p w:rsidR="001B2F9E" w:rsidRDefault="0049102C" w:rsidP="001B2F9E">
      <w:pPr>
        <w:pStyle w:val="NormalWeb"/>
        <w:ind w:left="1276"/>
        <w:jc w:val="both"/>
        <w:rPr>
          <w:rFonts w:ascii="Arial" w:hAnsi="Arial" w:cs="Arial"/>
          <w:sz w:val="22"/>
          <w:szCs w:val="22"/>
        </w:rPr>
      </w:pPr>
      <w:r>
        <w:rPr>
          <w:rFonts w:ascii="Arial" w:hAnsi="Arial" w:cs="Arial"/>
          <w:sz w:val="22"/>
          <w:szCs w:val="22"/>
        </w:rPr>
        <w:t>De este modo</w:t>
      </w:r>
      <w:r w:rsidR="005F7184">
        <w:rPr>
          <w:rFonts w:ascii="Arial" w:hAnsi="Arial" w:cs="Arial"/>
          <w:sz w:val="22"/>
          <w:szCs w:val="22"/>
        </w:rPr>
        <w:t xml:space="preserve">, </w:t>
      </w:r>
      <w:r w:rsidR="003A272C" w:rsidRPr="00A82F49">
        <w:rPr>
          <w:rFonts w:ascii="Arial" w:hAnsi="Arial" w:cs="Arial"/>
          <w:sz w:val="22"/>
          <w:szCs w:val="22"/>
        </w:rPr>
        <w:t>t</w:t>
      </w:r>
      <w:r w:rsidR="00CD74A8" w:rsidRPr="00A82F49">
        <w:rPr>
          <w:rFonts w:ascii="Arial" w:hAnsi="Arial" w:cs="Arial"/>
          <w:sz w:val="22"/>
          <w:szCs w:val="22"/>
        </w:rPr>
        <w:t>anto</w:t>
      </w:r>
      <w:r w:rsidR="00BC6BC3">
        <w:rPr>
          <w:rFonts w:ascii="Arial" w:hAnsi="Arial" w:cs="Arial"/>
          <w:sz w:val="22"/>
          <w:szCs w:val="22"/>
        </w:rPr>
        <w:t xml:space="preserve"> en</w:t>
      </w:r>
      <w:r w:rsidR="00CD74A8" w:rsidRPr="00A82F49">
        <w:rPr>
          <w:rFonts w:ascii="Arial" w:hAnsi="Arial" w:cs="Arial"/>
          <w:sz w:val="22"/>
          <w:szCs w:val="22"/>
        </w:rPr>
        <w:t xml:space="preserve"> la </w:t>
      </w:r>
      <w:r w:rsidR="00CD74A8" w:rsidRPr="00A82F49">
        <w:rPr>
          <w:rFonts w:ascii="Arial" w:hAnsi="Arial" w:cs="Arial"/>
          <w:b/>
          <w:sz w:val="22"/>
          <w:szCs w:val="22"/>
        </w:rPr>
        <w:t>RIOM</w:t>
      </w:r>
      <w:r w:rsidR="005F7184">
        <w:rPr>
          <w:rFonts w:ascii="Arial" w:hAnsi="Arial" w:cs="Arial"/>
          <w:b/>
          <w:sz w:val="22"/>
          <w:szCs w:val="22"/>
        </w:rPr>
        <w:t xml:space="preserve">, </w:t>
      </w:r>
      <w:r w:rsidR="005F7184" w:rsidRPr="005F7184">
        <w:rPr>
          <w:rFonts w:ascii="Arial" w:hAnsi="Arial" w:cs="Arial"/>
          <w:sz w:val="22"/>
          <w:szCs w:val="22"/>
        </w:rPr>
        <w:t>los</w:t>
      </w:r>
      <w:r w:rsidR="005F7184">
        <w:rPr>
          <w:rFonts w:ascii="Arial" w:hAnsi="Arial" w:cs="Arial"/>
          <w:b/>
          <w:sz w:val="22"/>
          <w:szCs w:val="22"/>
        </w:rPr>
        <w:t xml:space="preserve"> IOM</w:t>
      </w:r>
      <w:r w:rsidR="00CD74A8" w:rsidRPr="00A82F49">
        <w:rPr>
          <w:rFonts w:ascii="Arial" w:hAnsi="Arial" w:cs="Arial"/>
          <w:sz w:val="22"/>
          <w:szCs w:val="22"/>
        </w:rPr>
        <w:t xml:space="preserve"> como </w:t>
      </w:r>
      <w:r w:rsidR="005F7184">
        <w:rPr>
          <w:rFonts w:ascii="Arial" w:hAnsi="Arial" w:cs="Arial"/>
          <w:sz w:val="22"/>
          <w:szCs w:val="22"/>
        </w:rPr>
        <w:t xml:space="preserve">el </w:t>
      </w:r>
      <w:r w:rsidR="005F7184" w:rsidRPr="005F7184">
        <w:rPr>
          <w:rFonts w:ascii="Arial" w:hAnsi="Arial" w:cs="Arial"/>
          <w:b/>
          <w:sz w:val="22"/>
          <w:szCs w:val="22"/>
        </w:rPr>
        <w:t>MOM</w:t>
      </w:r>
      <w:r w:rsidR="00A82F49">
        <w:rPr>
          <w:rFonts w:ascii="Arial" w:hAnsi="Arial" w:cs="Arial"/>
          <w:b/>
          <w:sz w:val="22"/>
          <w:szCs w:val="22"/>
        </w:rPr>
        <w:t>,</w:t>
      </w:r>
      <w:r w:rsidR="00CD74A8" w:rsidRPr="00A82F49">
        <w:rPr>
          <w:rFonts w:ascii="Arial" w:hAnsi="Arial" w:cs="Arial"/>
          <w:sz w:val="22"/>
          <w:szCs w:val="22"/>
        </w:rPr>
        <w:t xml:space="preserve"> no </w:t>
      </w:r>
      <w:r w:rsidR="00BC6BC3">
        <w:rPr>
          <w:rFonts w:ascii="Arial" w:hAnsi="Arial" w:cs="Arial"/>
          <w:sz w:val="22"/>
          <w:szCs w:val="22"/>
        </w:rPr>
        <w:t xml:space="preserve">se </w:t>
      </w:r>
      <w:r w:rsidR="00CD74A8" w:rsidRPr="00A82F49">
        <w:rPr>
          <w:rFonts w:ascii="Arial" w:hAnsi="Arial" w:cs="Arial"/>
          <w:sz w:val="22"/>
          <w:szCs w:val="22"/>
        </w:rPr>
        <w:t xml:space="preserve">deben considerar </w:t>
      </w:r>
      <w:r w:rsidR="00CF4FAB" w:rsidRPr="00A82F49">
        <w:rPr>
          <w:rFonts w:ascii="Arial" w:hAnsi="Arial" w:cs="Arial"/>
          <w:sz w:val="22"/>
          <w:szCs w:val="22"/>
        </w:rPr>
        <w:t xml:space="preserve">las ventas de </w:t>
      </w:r>
      <w:r w:rsidR="00CF4FAB" w:rsidRPr="00A82F49">
        <w:rPr>
          <w:rFonts w:ascii="Arial" w:hAnsi="Arial" w:cs="Arial"/>
          <w:b/>
          <w:sz w:val="22"/>
          <w:szCs w:val="22"/>
        </w:rPr>
        <w:t>PM</w:t>
      </w:r>
      <w:r w:rsidR="00CF4FAB" w:rsidRPr="00A82F49">
        <w:rPr>
          <w:rFonts w:ascii="Arial" w:hAnsi="Arial" w:cs="Arial"/>
          <w:sz w:val="22"/>
          <w:szCs w:val="22"/>
        </w:rPr>
        <w:t xml:space="preserve"> del conjunto de </w:t>
      </w:r>
      <w:r w:rsidR="00CF4FAB" w:rsidRPr="00A82F49">
        <w:rPr>
          <w:rFonts w:ascii="Arial" w:hAnsi="Arial" w:cs="Arial"/>
          <w:b/>
          <w:sz w:val="22"/>
          <w:szCs w:val="22"/>
        </w:rPr>
        <w:t>personas</w:t>
      </w:r>
      <w:r w:rsidR="00CF4FAB" w:rsidRPr="00A82F49">
        <w:rPr>
          <w:rFonts w:ascii="Arial" w:hAnsi="Arial" w:cs="Arial"/>
          <w:sz w:val="22"/>
          <w:szCs w:val="22"/>
        </w:rPr>
        <w:t xml:space="preserve"> relacionadas del contribuyente</w:t>
      </w:r>
      <w:r w:rsidR="00623EB6">
        <w:rPr>
          <w:rFonts w:ascii="Arial" w:hAnsi="Arial" w:cs="Arial"/>
          <w:sz w:val="22"/>
          <w:szCs w:val="22"/>
        </w:rPr>
        <w:t>.</w:t>
      </w:r>
      <w:r>
        <w:rPr>
          <w:rFonts w:ascii="Arial" w:hAnsi="Arial" w:cs="Arial"/>
          <w:sz w:val="22"/>
          <w:szCs w:val="22"/>
        </w:rPr>
        <w:t xml:space="preserve"> </w:t>
      </w:r>
    </w:p>
    <w:p w:rsidR="006700E2" w:rsidRDefault="006700E2" w:rsidP="001B2F9E">
      <w:pPr>
        <w:pStyle w:val="NormalWeb"/>
        <w:ind w:left="567"/>
        <w:jc w:val="both"/>
        <w:rPr>
          <w:rFonts w:ascii="Arial" w:hAnsi="Arial" w:cs="Arial"/>
          <w:sz w:val="22"/>
          <w:szCs w:val="22"/>
        </w:rPr>
      </w:pPr>
      <w:r w:rsidRPr="006700E2">
        <w:rPr>
          <w:rFonts w:ascii="Arial" w:hAnsi="Arial" w:cs="Arial"/>
          <w:sz w:val="22"/>
          <w:szCs w:val="22"/>
        </w:rPr>
        <w:t>Se ent</w:t>
      </w:r>
      <w:r w:rsidR="001E15C2">
        <w:rPr>
          <w:rFonts w:ascii="Arial" w:hAnsi="Arial" w:cs="Arial"/>
          <w:sz w:val="22"/>
          <w:szCs w:val="22"/>
        </w:rPr>
        <w:t>i</w:t>
      </w:r>
      <w:r w:rsidRPr="006700E2">
        <w:rPr>
          <w:rFonts w:ascii="Arial" w:hAnsi="Arial" w:cs="Arial"/>
          <w:sz w:val="22"/>
          <w:szCs w:val="22"/>
        </w:rPr>
        <w:t>ende por personas relacionadas</w:t>
      </w:r>
      <w:r w:rsidR="00A818F5">
        <w:rPr>
          <w:rFonts w:ascii="Arial" w:hAnsi="Arial" w:cs="Arial"/>
          <w:sz w:val="22"/>
          <w:szCs w:val="22"/>
        </w:rPr>
        <w:t xml:space="preserve"> para los efectos de considerar el conjunto de sus ventas de </w:t>
      </w:r>
      <w:r w:rsidR="00A818F5" w:rsidRPr="00A818F5">
        <w:rPr>
          <w:rFonts w:ascii="Arial" w:hAnsi="Arial" w:cs="Arial"/>
          <w:b/>
          <w:sz w:val="22"/>
          <w:szCs w:val="22"/>
        </w:rPr>
        <w:t>PM</w:t>
      </w:r>
      <w:r>
        <w:rPr>
          <w:rFonts w:ascii="Arial" w:hAnsi="Arial" w:cs="Arial"/>
          <w:sz w:val="22"/>
          <w:szCs w:val="22"/>
        </w:rPr>
        <w:t>,</w:t>
      </w:r>
      <w:r w:rsidRPr="006700E2">
        <w:rPr>
          <w:rFonts w:ascii="Arial" w:hAnsi="Arial" w:cs="Arial"/>
          <w:sz w:val="22"/>
          <w:szCs w:val="22"/>
        </w:rPr>
        <w:t xml:space="preserve"> aquellas a que se refiere el N°2, del artículo 34, de la LlR. Al respecto, en el </w:t>
      </w:r>
      <w:r w:rsidR="00445A99">
        <w:rPr>
          <w:rFonts w:ascii="Arial" w:hAnsi="Arial" w:cs="Arial"/>
          <w:b/>
          <w:sz w:val="22"/>
          <w:szCs w:val="22"/>
        </w:rPr>
        <w:t>A</w:t>
      </w:r>
      <w:r w:rsidRPr="00A818F5">
        <w:rPr>
          <w:rFonts w:ascii="Arial" w:hAnsi="Arial" w:cs="Arial"/>
          <w:b/>
          <w:sz w:val="22"/>
          <w:szCs w:val="22"/>
        </w:rPr>
        <w:t>nexo N°3</w:t>
      </w:r>
      <w:r w:rsidRPr="006700E2">
        <w:rPr>
          <w:rFonts w:ascii="Arial" w:hAnsi="Arial" w:cs="Arial"/>
          <w:sz w:val="22"/>
          <w:szCs w:val="22"/>
        </w:rPr>
        <w:t xml:space="preserve"> de la presente Circular, se </w:t>
      </w:r>
      <w:r w:rsidR="00A818F5">
        <w:rPr>
          <w:rFonts w:ascii="Arial" w:hAnsi="Arial" w:cs="Arial"/>
          <w:sz w:val="22"/>
          <w:szCs w:val="22"/>
        </w:rPr>
        <w:t>analizan</w:t>
      </w:r>
      <w:r w:rsidRPr="006700E2">
        <w:rPr>
          <w:rFonts w:ascii="Arial" w:hAnsi="Arial" w:cs="Arial"/>
          <w:sz w:val="22"/>
          <w:szCs w:val="22"/>
        </w:rPr>
        <w:t xml:space="preserve"> los principios a considerar para estos efectos, los que están contenidos en la Circular 58, de 1990, de este Servicio, con las adecuaciones correspondientes.</w:t>
      </w:r>
    </w:p>
    <w:p w:rsidR="00664042" w:rsidRPr="00664042" w:rsidRDefault="006700E2" w:rsidP="00A82F49">
      <w:pPr>
        <w:pStyle w:val="NormalWeb"/>
        <w:ind w:left="567"/>
        <w:jc w:val="both"/>
        <w:rPr>
          <w:rFonts w:ascii="Arial" w:hAnsi="Arial" w:cs="Arial"/>
          <w:sz w:val="22"/>
          <w:szCs w:val="22"/>
          <w:highlight w:val="yellow"/>
        </w:rPr>
      </w:pPr>
      <w:r w:rsidRPr="006700E2">
        <w:rPr>
          <w:rFonts w:ascii="Arial" w:hAnsi="Arial" w:cs="Arial"/>
          <w:sz w:val="22"/>
          <w:szCs w:val="22"/>
        </w:rPr>
        <w:t xml:space="preserve">Cabe destacar en este punto, que la Ley 20.469 si bien mantuvo la referencia al </w:t>
      </w:r>
      <w:r w:rsidR="00797998">
        <w:rPr>
          <w:rFonts w:ascii="Arial" w:hAnsi="Arial" w:cs="Arial"/>
          <w:sz w:val="22"/>
          <w:szCs w:val="22"/>
        </w:rPr>
        <w:t>N°</w:t>
      </w:r>
      <w:r w:rsidRPr="006700E2">
        <w:rPr>
          <w:rFonts w:ascii="Arial" w:hAnsi="Arial" w:cs="Arial"/>
          <w:sz w:val="22"/>
          <w:szCs w:val="22"/>
        </w:rPr>
        <w:t xml:space="preserve">2, del artículo 34, de la LIR, para los efectos de determinar la extensión del concepto de personas relacionadas a que se refiere el </w:t>
      </w:r>
      <w:r w:rsidR="00A818F5">
        <w:rPr>
          <w:rFonts w:ascii="Arial" w:hAnsi="Arial" w:cs="Arial"/>
          <w:sz w:val="22"/>
          <w:szCs w:val="22"/>
        </w:rPr>
        <w:t xml:space="preserve">citado </w:t>
      </w:r>
      <w:r w:rsidRPr="006700E2">
        <w:rPr>
          <w:rFonts w:ascii="Arial" w:hAnsi="Arial" w:cs="Arial"/>
          <w:sz w:val="22"/>
          <w:szCs w:val="22"/>
        </w:rPr>
        <w:t>artículo 64 bis, se indicó de manera expresa que lo dispuesto en el inciso 4°, del N°2</w:t>
      </w:r>
      <w:r w:rsidR="00797998">
        <w:rPr>
          <w:rFonts w:ascii="Arial" w:hAnsi="Arial" w:cs="Arial"/>
          <w:sz w:val="22"/>
          <w:szCs w:val="22"/>
        </w:rPr>
        <w:t>,</w:t>
      </w:r>
      <w:r w:rsidRPr="006700E2">
        <w:rPr>
          <w:rFonts w:ascii="Arial" w:hAnsi="Arial" w:cs="Arial"/>
          <w:sz w:val="22"/>
          <w:szCs w:val="22"/>
        </w:rPr>
        <w:t xml:space="preserve"> del artículo 34, se aplicará incluso en el caso que la persona relacionada sea un establecimiento permanente, un fondo y, en general, cualquier contribuyente.  </w:t>
      </w:r>
    </w:p>
    <w:p w:rsidR="00596F98" w:rsidRPr="00252C1F" w:rsidRDefault="00D407EC" w:rsidP="00D407EC">
      <w:pPr>
        <w:numPr>
          <w:ilvl w:val="0"/>
          <w:numId w:val="19"/>
        </w:numPr>
        <w:autoSpaceDE w:val="0"/>
        <w:autoSpaceDN w:val="0"/>
        <w:adjustRightInd w:val="0"/>
        <w:jc w:val="both"/>
        <w:rPr>
          <w:rFonts w:ascii="Arial" w:hAnsi="Arial" w:cs="Arial"/>
          <w:b/>
          <w:bCs/>
          <w:sz w:val="22"/>
          <w:szCs w:val="22"/>
        </w:rPr>
      </w:pPr>
      <w:r w:rsidRPr="00252C1F">
        <w:rPr>
          <w:rFonts w:ascii="Arial" w:hAnsi="Arial" w:cs="Arial"/>
          <w:b/>
          <w:bCs/>
          <w:sz w:val="22"/>
          <w:szCs w:val="22"/>
        </w:rPr>
        <w:t>D</w:t>
      </w:r>
      <w:r w:rsidR="00596F98" w:rsidRPr="00252C1F">
        <w:rPr>
          <w:rFonts w:ascii="Arial" w:hAnsi="Arial" w:cs="Arial"/>
          <w:b/>
          <w:bCs/>
          <w:sz w:val="22"/>
          <w:szCs w:val="22"/>
        </w:rPr>
        <w:t>etermina</w:t>
      </w:r>
      <w:r w:rsidRPr="00252C1F">
        <w:rPr>
          <w:rFonts w:ascii="Arial" w:hAnsi="Arial" w:cs="Arial"/>
          <w:b/>
          <w:bCs/>
          <w:sz w:val="22"/>
          <w:szCs w:val="22"/>
        </w:rPr>
        <w:t>ción d</w:t>
      </w:r>
      <w:r w:rsidR="00596F98" w:rsidRPr="00252C1F">
        <w:rPr>
          <w:rFonts w:ascii="Arial" w:hAnsi="Arial" w:cs="Arial"/>
          <w:b/>
          <w:bCs/>
          <w:sz w:val="22"/>
          <w:szCs w:val="22"/>
        </w:rPr>
        <w:t xml:space="preserve">el valor de una </w:t>
      </w:r>
      <w:r w:rsidR="00C472D4">
        <w:rPr>
          <w:rFonts w:ascii="Arial" w:hAnsi="Arial" w:cs="Arial"/>
          <w:b/>
          <w:bCs/>
          <w:sz w:val="22"/>
          <w:szCs w:val="22"/>
        </w:rPr>
        <w:t>TMCF</w:t>
      </w:r>
      <w:r w:rsidR="00596F98" w:rsidRPr="00252C1F">
        <w:rPr>
          <w:rFonts w:ascii="Arial" w:hAnsi="Arial" w:cs="Arial"/>
          <w:b/>
          <w:bCs/>
          <w:sz w:val="22"/>
          <w:szCs w:val="22"/>
        </w:rPr>
        <w:t>.</w:t>
      </w:r>
    </w:p>
    <w:p w:rsidR="00596F98" w:rsidRPr="00252C1F" w:rsidRDefault="00596F98" w:rsidP="00483E3B">
      <w:pPr>
        <w:autoSpaceDE w:val="0"/>
        <w:autoSpaceDN w:val="0"/>
        <w:adjustRightInd w:val="0"/>
        <w:ind w:left="567" w:hanging="567"/>
        <w:jc w:val="both"/>
        <w:rPr>
          <w:rFonts w:ascii="Arial" w:hAnsi="Arial" w:cs="Arial"/>
          <w:b/>
          <w:bCs/>
          <w:sz w:val="22"/>
          <w:szCs w:val="22"/>
        </w:rPr>
      </w:pPr>
    </w:p>
    <w:p w:rsidR="00596F98" w:rsidRPr="00252C1F" w:rsidRDefault="00C472D4" w:rsidP="00483E3B">
      <w:pPr>
        <w:autoSpaceDE w:val="0"/>
        <w:autoSpaceDN w:val="0"/>
        <w:adjustRightInd w:val="0"/>
        <w:ind w:left="567"/>
        <w:jc w:val="both"/>
        <w:rPr>
          <w:sz w:val="22"/>
          <w:szCs w:val="22"/>
        </w:rPr>
      </w:pPr>
      <w:r>
        <w:rPr>
          <w:rFonts w:ascii="Arial" w:hAnsi="Arial" w:cs="Arial"/>
          <w:sz w:val="22"/>
          <w:szCs w:val="22"/>
        </w:rPr>
        <w:t>La L</w:t>
      </w:r>
      <w:r w:rsidR="00596F98" w:rsidRPr="00252C1F">
        <w:rPr>
          <w:rFonts w:ascii="Arial" w:hAnsi="Arial" w:cs="Arial"/>
          <w:sz w:val="22"/>
          <w:szCs w:val="22"/>
        </w:rPr>
        <w:t>ey establece que la</w:t>
      </w:r>
      <w:r>
        <w:rPr>
          <w:rFonts w:ascii="Arial" w:hAnsi="Arial" w:cs="Arial"/>
          <w:sz w:val="22"/>
          <w:szCs w:val="22"/>
        </w:rPr>
        <w:t>s</w:t>
      </w:r>
      <w:r w:rsidR="00596F98" w:rsidRPr="00252C1F">
        <w:rPr>
          <w:rFonts w:ascii="Arial" w:hAnsi="Arial" w:cs="Arial"/>
          <w:sz w:val="22"/>
          <w:szCs w:val="22"/>
        </w:rPr>
        <w:t xml:space="preserve"> venta</w:t>
      </w:r>
      <w:r>
        <w:rPr>
          <w:rFonts w:ascii="Arial" w:hAnsi="Arial" w:cs="Arial"/>
          <w:sz w:val="22"/>
          <w:szCs w:val="22"/>
        </w:rPr>
        <w:t>s</w:t>
      </w:r>
      <w:r w:rsidR="00596F98" w:rsidRPr="00252C1F">
        <w:rPr>
          <w:rFonts w:ascii="Arial" w:hAnsi="Arial" w:cs="Arial"/>
          <w:sz w:val="22"/>
          <w:szCs w:val="22"/>
        </w:rPr>
        <w:t xml:space="preserve"> de cualquier </w:t>
      </w:r>
      <w:r w:rsidR="00D407EC" w:rsidRPr="006B4F7D">
        <w:rPr>
          <w:rFonts w:ascii="Arial" w:hAnsi="Arial" w:cs="Arial"/>
          <w:b/>
          <w:sz w:val="22"/>
          <w:szCs w:val="22"/>
        </w:rPr>
        <w:t>PM</w:t>
      </w:r>
      <w:r w:rsidR="00D407EC" w:rsidRPr="00252C1F">
        <w:rPr>
          <w:rFonts w:ascii="Arial" w:hAnsi="Arial" w:cs="Arial"/>
          <w:sz w:val="22"/>
          <w:szCs w:val="22"/>
        </w:rPr>
        <w:t xml:space="preserve"> efe</w:t>
      </w:r>
      <w:r w:rsidR="00596F98" w:rsidRPr="00252C1F">
        <w:rPr>
          <w:rFonts w:ascii="Arial" w:hAnsi="Arial" w:cs="Arial"/>
          <w:sz w:val="22"/>
          <w:szCs w:val="22"/>
        </w:rPr>
        <w:t>ctuada</w:t>
      </w:r>
      <w:r>
        <w:rPr>
          <w:rFonts w:ascii="Arial" w:hAnsi="Arial" w:cs="Arial"/>
          <w:sz w:val="22"/>
          <w:szCs w:val="22"/>
        </w:rPr>
        <w:t>s</w:t>
      </w:r>
      <w:r w:rsidR="00596F98" w:rsidRPr="00252C1F">
        <w:rPr>
          <w:rFonts w:ascii="Arial" w:hAnsi="Arial" w:cs="Arial"/>
          <w:sz w:val="22"/>
          <w:szCs w:val="22"/>
        </w:rPr>
        <w:t xml:space="preserve"> en el ejercicio</w:t>
      </w:r>
      <w:r w:rsidR="001036A7" w:rsidRPr="00252C1F">
        <w:rPr>
          <w:rFonts w:ascii="Arial" w:hAnsi="Arial" w:cs="Arial"/>
          <w:sz w:val="22"/>
          <w:szCs w:val="22"/>
        </w:rPr>
        <w:t xml:space="preserve"> debe</w:t>
      </w:r>
      <w:r>
        <w:rPr>
          <w:rFonts w:ascii="Arial" w:hAnsi="Arial" w:cs="Arial"/>
          <w:sz w:val="22"/>
          <w:szCs w:val="22"/>
        </w:rPr>
        <w:t>n</w:t>
      </w:r>
      <w:r w:rsidR="001036A7" w:rsidRPr="00252C1F">
        <w:rPr>
          <w:rFonts w:ascii="Arial" w:hAnsi="Arial" w:cs="Arial"/>
          <w:sz w:val="22"/>
          <w:szCs w:val="22"/>
        </w:rPr>
        <w:t xml:space="preserve"> expresarse a su valor </w:t>
      </w:r>
      <w:r w:rsidR="00596F98" w:rsidRPr="00252C1F">
        <w:rPr>
          <w:rFonts w:ascii="Arial" w:hAnsi="Arial" w:cs="Arial"/>
          <w:sz w:val="22"/>
          <w:szCs w:val="22"/>
        </w:rPr>
        <w:t xml:space="preserve">equivalente a </w:t>
      </w:r>
      <w:r w:rsidRPr="00BC6BC3">
        <w:rPr>
          <w:rFonts w:ascii="Arial" w:hAnsi="Arial" w:cs="Arial"/>
          <w:b/>
          <w:sz w:val="22"/>
          <w:szCs w:val="22"/>
        </w:rPr>
        <w:t>TMCF</w:t>
      </w:r>
      <w:r w:rsidR="00596F98" w:rsidRPr="00252C1F">
        <w:rPr>
          <w:rFonts w:ascii="Arial" w:hAnsi="Arial" w:cs="Arial"/>
          <w:sz w:val="22"/>
          <w:szCs w:val="22"/>
        </w:rPr>
        <w:t xml:space="preserve">, dividiendo el valor total de </w:t>
      </w:r>
      <w:r w:rsidR="00596F98" w:rsidRPr="005736B6">
        <w:rPr>
          <w:rFonts w:ascii="Arial" w:hAnsi="Arial" w:cs="Arial"/>
          <w:sz w:val="22"/>
          <w:szCs w:val="22"/>
        </w:rPr>
        <w:t xml:space="preserve">las ventas del ejercicio por el precio promedio de la </w:t>
      </w:r>
      <w:r w:rsidRPr="005736B6">
        <w:rPr>
          <w:rFonts w:ascii="Arial" w:hAnsi="Arial" w:cs="Arial"/>
          <w:b/>
          <w:sz w:val="22"/>
          <w:szCs w:val="22"/>
        </w:rPr>
        <w:t>TMCF</w:t>
      </w:r>
      <w:r w:rsidR="00596F98" w:rsidRPr="005736B6">
        <w:rPr>
          <w:rFonts w:ascii="Arial" w:hAnsi="Arial" w:cs="Arial"/>
          <w:sz w:val="22"/>
          <w:szCs w:val="22"/>
        </w:rPr>
        <w:t>.</w:t>
      </w:r>
      <w:r w:rsidR="00596F98" w:rsidRPr="00252C1F">
        <w:rPr>
          <w:rFonts w:ascii="Arial" w:hAnsi="Arial" w:cs="Arial"/>
          <w:sz w:val="22"/>
          <w:szCs w:val="22"/>
        </w:rPr>
        <w:t xml:space="preserve">   </w:t>
      </w:r>
    </w:p>
    <w:p w:rsidR="00596F98" w:rsidRPr="00252C1F" w:rsidRDefault="00596F98" w:rsidP="00483E3B">
      <w:pPr>
        <w:pStyle w:val="NormalWeb"/>
        <w:ind w:left="567" w:hanging="28"/>
        <w:jc w:val="both"/>
        <w:rPr>
          <w:sz w:val="22"/>
          <w:szCs w:val="22"/>
        </w:rPr>
      </w:pPr>
      <w:r w:rsidRPr="00252C1F">
        <w:rPr>
          <w:rFonts w:ascii="Arial" w:hAnsi="Arial" w:cs="Arial"/>
          <w:sz w:val="22"/>
          <w:szCs w:val="22"/>
        </w:rPr>
        <w:t xml:space="preserve">Para estos efectos, el valor de una </w:t>
      </w:r>
      <w:r w:rsidR="00C472D4" w:rsidRPr="00BC6BC3">
        <w:rPr>
          <w:rFonts w:ascii="Arial" w:hAnsi="Arial" w:cs="Arial"/>
          <w:b/>
          <w:sz w:val="22"/>
          <w:szCs w:val="22"/>
        </w:rPr>
        <w:t>TMCF</w:t>
      </w:r>
      <w:r w:rsidRPr="00252C1F">
        <w:rPr>
          <w:rFonts w:ascii="Arial" w:hAnsi="Arial" w:cs="Arial"/>
          <w:sz w:val="22"/>
          <w:szCs w:val="22"/>
        </w:rPr>
        <w:t xml:space="preserve"> se</w:t>
      </w:r>
      <w:r w:rsidR="00A71098">
        <w:rPr>
          <w:rFonts w:ascii="Arial" w:hAnsi="Arial" w:cs="Arial"/>
          <w:sz w:val="22"/>
          <w:szCs w:val="22"/>
        </w:rPr>
        <w:t>rá</w:t>
      </w:r>
      <w:r w:rsidRPr="00252C1F">
        <w:rPr>
          <w:rFonts w:ascii="Arial" w:hAnsi="Arial" w:cs="Arial"/>
          <w:sz w:val="22"/>
          <w:szCs w:val="22"/>
        </w:rPr>
        <w:t xml:space="preserve"> determina</w:t>
      </w:r>
      <w:r w:rsidR="00A71098">
        <w:rPr>
          <w:rFonts w:ascii="Arial" w:hAnsi="Arial" w:cs="Arial"/>
          <w:sz w:val="22"/>
          <w:szCs w:val="22"/>
        </w:rPr>
        <w:t>do</w:t>
      </w:r>
      <w:r w:rsidR="00AA663B" w:rsidRPr="00252C1F">
        <w:rPr>
          <w:rFonts w:ascii="Arial" w:hAnsi="Arial" w:cs="Arial"/>
          <w:sz w:val="22"/>
          <w:szCs w:val="22"/>
        </w:rPr>
        <w:t xml:space="preserve"> por </w:t>
      </w:r>
      <w:r w:rsidR="00AA663B" w:rsidRPr="00BC6BC3">
        <w:rPr>
          <w:rFonts w:ascii="Arial" w:hAnsi="Arial" w:cs="Arial"/>
          <w:b/>
          <w:sz w:val="22"/>
          <w:szCs w:val="22"/>
        </w:rPr>
        <w:t>COCHILCO</w:t>
      </w:r>
      <w:r w:rsidRPr="00252C1F">
        <w:rPr>
          <w:rFonts w:ascii="Arial" w:hAnsi="Arial" w:cs="Arial"/>
          <w:sz w:val="22"/>
          <w:szCs w:val="22"/>
        </w:rPr>
        <w:t xml:space="preserve"> de acuerdo al valor promedio </w:t>
      </w:r>
      <w:r w:rsidR="00AE2AA1" w:rsidRPr="00252C1F">
        <w:rPr>
          <w:rFonts w:ascii="Arial" w:hAnsi="Arial" w:cs="Arial"/>
          <w:sz w:val="22"/>
          <w:szCs w:val="22"/>
        </w:rPr>
        <w:t xml:space="preserve">contado </w:t>
      </w:r>
      <w:r w:rsidRPr="00252C1F">
        <w:rPr>
          <w:rFonts w:ascii="Arial" w:hAnsi="Arial" w:cs="Arial"/>
          <w:sz w:val="22"/>
          <w:szCs w:val="22"/>
        </w:rPr>
        <w:t xml:space="preserve">que el cobre Grado A haya presentado durante el ejercicio respectivo en </w:t>
      </w:r>
      <w:smartTag w:uri="urn:schemas-microsoft-com:office:smarttags" w:element="PersonName">
        <w:smartTagPr>
          <w:attr w:name="ProductID" w:val="la Bolsa"/>
        </w:smartTagPr>
        <w:r w:rsidRPr="00252C1F">
          <w:rPr>
            <w:rFonts w:ascii="Arial" w:hAnsi="Arial" w:cs="Arial"/>
            <w:sz w:val="22"/>
            <w:szCs w:val="22"/>
          </w:rPr>
          <w:t>la Bolsa</w:t>
        </w:r>
      </w:smartTag>
      <w:r w:rsidRPr="00252C1F">
        <w:rPr>
          <w:rFonts w:ascii="Arial" w:hAnsi="Arial" w:cs="Arial"/>
          <w:sz w:val="22"/>
          <w:szCs w:val="22"/>
        </w:rPr>
        <w:t xml:space="preserve"> de Metales de Londres, </w:t>
      </w:r>
      <w:r w:rsidR="00AA663B" w:rsidRPr="00252C1F">
        <w:rPr>
          <w:rFonts w:ascii="Arial" w:hAnsi="Arial" w:cs="Arial"/>
          <w:sz w:val="22"/>
          <w:szCs w:val="22"/>
        </w:rPr>
        <w:t>debiendo ser publicado</w:t>
      </w:r>
      <w:r w:rsidR="00AE3384" w:rsidRPr="00252C1F">
        <w:rPr>
          <w:rFonts w:ascii="Arial" w:hAnsi="Arial" w:cs="Arial"/>
          <w:sz w:val="22"/>
          <w:szCs w:val="22"/>
        </w:rPr>
        <w:t xml:space="preserve"> por esa institución, </w:t>
      </w:r>
      <w:r w:rsidRPr="00252C1F">
        <w:rPr>
          <w:rFonts w:ascii="Arial" w:hAnsi="Arial" w:cs="Arial"/>
          <w:sz w:val="22"/>
          <w:szCs w:val="22"/>
        </w:rPr>
        <w:t>en</w:t>
      </w:r>
      <w:r w:rsidR="00A9008D" w:rsidRPr="00252C1F">
        <w:rPr>
          <w:rFonts w:ascii="Arial" w:hAnsi="Arial" w:cs="Arial"/>
          <w:sz w:val="22"/>
          <w:szCs w:val="22"/>
        </w:rPr>
        <w:t xml:space="preserve"> su equivalente en</w:t>
      </w:r>
      <w:r w:rsidR="00AE3384" w:rsidRPr="00252C1F">
        <w:rPr>
          <w:rFonts w:ascii="Arial" w:hAnsi="Arial" w:cs="Arial"/>
          <w:sz w:val="22"/>
          <w:szCs w:val="22"/>
        </w:rPr>
        <w:t xml:space="preserve"> moneda nacional, </w:t>
      </w:r>
      <w:r w:rsidRPr="00252C1F">
        <w:rPr>
          <w:rFonts w:ascii="Arial" w:hAnsi="Arial" w:cs="Arial"/>
          <w:sz w:val="22"/>
          <w:szCs w:val="22"/>
        </w:rPr>
        <w:t xml:space="preserve">dentro de los primeros 30 días de cada año.   </w:t>
      </w:r>
    </w:p>
    <w:p w:rsidR="00596F98" w:rsidRPr="00486D09" w:rsidRDefault="00596F98" w:rsidP="00BD431C">
      <w:pPr>
        <w:pStyle w:val="NormalWeb"/>
        <w:numPr>
          <w:ilvl w:val="0"/>
          <w:numId w:val="19"/>
        </w:numPr>
        <w:tabs>
          <w:tab w:val="left" w:pos="993"/>
        </w:tabs>
        <w:ind w:left="567" w:firstLine="0"/>
        <w:jc w:val="both"/>
        <w:rPr>
          <w:rFonts w:ascii="Arial" w:hAnsi="Arial" w:cs="Arial"/>
          <w:b/>
          <w:bCs/>
          <w:sz w:val="22"/>
          <w:szCs w:val="22"/>
        </w:rPr>
      </w:pPr>
      <w:r w:rsidRPr="00486D09">
        <w:rPr>
          <w:rFonts w:ascii="Arial" w:hAnsi="Arial" w:cs="Arial"/>
          <w:b/>
          <w:bCs/>
          <w:sz w:val="22"/>
          <w:szCs w:val="22"/>
        </w:rPr>
        <w:t xml:space="preserve">Forma de calcular la tasa aplicable </w:t>
      </w:r>
      <w:r w:rsidR="00C1310A" w:rsidRPr="00486D09">
        <w:rPr>
          <w:rFonts w:ascii="Arial" w:hAnsi="Arial" w:cs="Arial"/>
          <w:b/>
          <w:bCs/>
          <w:sz w:val="22"/>
          <w:szCs w:val="22"/>
        </w:rPr>
        <w:t>en el caso de</w:t>
      </w:r>
      <w:r w:rsidRPr="00486D09">
        <w:rPr>
          <w:rFonts w:ascii="Arial" w:hAnsi="Arial" w:cs="Arial"/>
          <w:b/>
          <w:bCs/>
          <w:sz w:val="22"/>
          <w:szCs w:val="22"/>
        </w:rPr>
        <w:t xml:space="preserve"> </w:t>
      </w:r>
      <w:r w:rsidR="00C1310A" w:rsidRPr="00486D09">
        <w:rPr>
          <w:rFonts w:ascii="Arial" w:hAnsi="Arial" w:cs="Arial"/>
          <w:b/>
          <w:bCs/>
          <w:sz w:val="22"/>
          <w:szCs w:val="22"/>
        </w:rPr>
        <w:t>EM</w:t>
      </w:r>
      <w:r w:rsidRPr="00486D09">
        <w:rPr>
          <w:rFonts w:ascii="Arial" w:hAnsi="Arial" w:cs="Arial"/>
          <w:b/>
          <w:bCs/>
          <w:sz w:val="22"/>
          <w:szCs w:val="22"/>
        </w:rPr>
        <w:t xml:space="preserve"> cuyas ventas anuales</w:t>
      </w:r>
      <w:r w:rsidR="00C1310A" w:rsidRPr="00486D09">
        <w:rPr>
          <w:rFonts w:ascii="Arial" w:hAnsi="Arial" w:cs="Arial"/>
          <w:b/>
          <w:bCs/>
          <w:sz w:val="22"/>
          <w:szCs w:val="22"/>
        </w:rPr>
        <w:t xml:space="preserve"> de PM</w:t>
      </w:r>
      <w:r w:rsidRPr="00486D09">
        <w:rPr>
          <w:rFonts w:ascii="Arial" w:hAnsi="Arial" w:cs="Arial"/>
          <w:b/>
          <w:bCs/>
          <w:sz w:val="22"/>
          <w:szCs w:val="22"/>
        </w:rPr>
        <w:t xml:space="preserve"> sean iguales o inferiores al valor equivalente a 50.000 </w:t>
      </w:r>
      <w:r w:rsidR="00486D09">
        <w:rPr>
          <w:rFonts w:ascii="Arial" w:hAnsi="Arial" w:cs="Arial"/>
          <w:b/>
          <w:bCs/>
          <w:sz w:val="22"/>
          <w:szCs w:val="22"/>
        </w:rPr>
        <w:t>TMCF</w:t>
      </w:r>
      <w:r w:rsidR="00483E3B" w:rsidRPr="00486D09">
        <w:rPr>
          <w:rFonts w:ascii="Arial" w:hAnsi="Arial" w:cs="Arial"/>
          <w:b/>
          <w:bCs/>
          <w:sz w:val="22"/>
          <w:szCs w:val="22"/>
        </w:rPr>
        <w:t xml:space="preserve"> y superiores al valor equivalente a 12.000 </w:t>
      </w:r>
      <w:r w:rsidR="00486D09">
        <w:rPr>
          <w:rFonts w:ascii="Arial" w:hAnsi="Arial" w:cs="Arial"/>
          <w:b/>
          <w:bCs/>
          <w:sz w:val="22"/>
          <w:szCs w:val="22"/>
        </w:rPr>
        <w:t>TMCF</w:t>
      </w:r>
      <w:r w:rsidR="00187BB8" w:rsidRPr="00486D09">
        <w:rPr>
          <w:rFonts w:ascii="Arial" w:hAnsi="Arial" w:cs="Arial"/>
          <w:b/>
          <w:bCs/>
          <w:sz w:val="22"/>
          <w:szCs w:val="22"/>
        </w:rPr>
        <w:t xml:space="preserve">. </w:t>
      </w:r>
    </w:p>
    <w:p w:rsidR="00596F98" w:rsidRPr="00252C1F" w:rsidRDefault="00596F98" w:rsidP="001A04C9">
      <w:pPr>
        <w:pStyle w:val="NormalWeb"/>
        <w:ind w:left="567"/>
        <w:jc w:val="both"/>
        <w:rPr>
          <w:rFonts w:ascii="Arial" w:hAnsi="Arial" w:cs="Arial"/>
          <w:b/>
          <w:bCs/>
          <w:sz w:val="22"/>
          <w:szCs w:val="22"/>
        </w:rPr>
      </w:pPr>
      <w:r w:rsidRPr="00252C1F">
        <w:rPr>
          <w:rFonts w:ascii="Arial" w:hAnsi="Arial" w:cs="Arial"/>
          <w:sz w:val="22"/>
          <w:szCs w:val="22"/>
        </w:rPr>
        <w:t>Según lo expresado</w:t>
      </w:r>
      <w:r w:rsidR="001A04C9" w:rsidRPr="00252C1F">
        <w:rPr>
          <w:rFonts w:ascii="Arial" w:hAnsi="Arial" w:cs="Arial"/>
          <w:sz w:val="22"/>
          <w:szCs w:val="22"/>
        </w:rPr>
        <w:t>,</w:t>
      </w:r>
      <w:r w:rsidRPr="00252C1F">
        <w:rPr>
          <w:rFonts w:ascii="Arial" w:hAnsi="Arial" w:cs="Arial"/>
          <w:sz w:val="22"/>
          <w:szCs w:val="22"/>
        </w:rPr>
        <w:t xml:space="preserve"> el </w:t>
      </w:r>
      <w:r w:rsidR="001A04C9" w:rsidRPr="006B4F7D">
        <w:rPr>
          <w:rFonts w:ascii="Arial" w:hAnsi="Arial" w:cs="Arial"/>
          <w:b/>
          <w:sz w:val="22"/>
          <w:szCs w:val="22"/>
        </w:rPr>
        <w:t>IEM</w:t>
      </w:r>
      <w:r w:rsidR="001A04C9" w:rsidRPr="00252C1F">
        <w:rPr>
          <w:rFonts w:ascii="Arial" w:hAnsi="Arial" w:cs="Arial"/>
          <w:sz w:val="22"/>
          <w:szCs w:val="22"/>
        </w:rPr>
        <w:t xml:space="preserve"> se determinará de la </w:t>
      </w:r>
      <w:r w:rsidRPr="00252C1F">
        <w:rPr>
          <w:rFonts w:ascii="Arial" w:hAnsi="Arial" w:cs="Arial"/>
          <w:sz w:val="22"/>
          <w:szCs w:val="22"/>
        </w:rPr>
        <w:t xml:space="preserve">siguiente </w:t>
      </w:r>
      <w:r w:rsidR="001A04C9" w:rsidRPr="00252C1F">
        <w:rPr>
          <w:rFonts w:ascii="Arial" w:hAnsi="Arial" w:cs="Arial"/>
          <w:sz w:val="22"/>
          <w:szCs w:val="22"/>
        </w:rPr>
        <w:t>forma</w:t>
      </w:r>
      <w:r w:rsidRPr="00252C1F">
        <w:rPr>
          <w:rFonts w:ascii="Arial" w:hAnsi="Arial" w:cs="Arial"/>
          <w:sz w:val="22"/>
          <w:szCs w:val="22"/>
        </w:rPr>
        <w:t>:  </w:t>
      </w:r>
    </w:p>
    <w:p w:rsidR="00596F98" w:rsidRPr="00252C1F" w:rsidRDefault="00596F98" w:rsidP="00BE4740">
      <w:pPr>
        <w:numPr>
          <w:ilvl w:val="0"/>
          <w:numId w:val="22"/>
        </w:numPr>
        <w:spacing w:before="100" w:beforeAutospacing="1" w:after="100" w:afterAutospacing="1"/>
        <w:rPr>
          <w:b/>
          <w:sz w:val="22"/>
          <w:szCs w:val="22"/>
          <w:lang w:val="es-CL" w:eastAsia="es-CL"/>
        </w:rPr>
      </w:pPr>
      <w:r w:rsidRPr="00252C1F">
        <w:rPr>
          <w:rFonts w:ascii="Arial" w:hAnsi="Arial" w:cs="Arial"/>
          <w:b/>
          <w:bCs/>
          <w:sz w:val="22"/>
          <w:szCs w:val="22"/>
          <w:lang w:val="es-CL" w:eastAsia="es-CL"/>
        </w:rPr>
        <w:t xml:space="preserve">Determinación de las </w:t>
      </w:r>
      <w:r w:rsidR="00486D09">
        <w:rPr>
          <w:rFonts w:ascii="Arial" w:hAnsi="Arial" w:cs="Arial"/>
          <w:b/>
          <w:bCs/>
          <w:sz w:val="22"/>
          <w:szCs w:val="22"/>
          <w:lang w:val="es-CL" w:eastAsia="es-CL"/>
        </w:rPr>
        <w:t>TMCF</w:t>
      </w:r>
      <w:r w:rsidRPr="00252C1F">
        <w:rPr>
          <w:rFonts w:ascii="Arial" w:hAnsi="Arial" w:cs="Arial"/>
          <w:b/>
          <w:bCs/>
          <w:sz w:val="22"/>
          <w:szCs w:val="22"/>
          <w:lang w:val="es-CL" w:eastAsia="es-CL"/>
        </w:rPr>
        <w:t>.</w:t>
      </w:r>
    </w:p>
    <w:p w:rsidR="00596F98" w:rsidRPr="00252C1F" w:rsidRDefault="00596F98" w:rsidP="00486D09">
      <w:pPr>
        <w:spacing w:before="100" w:beforeAutospacing="1" w:after="100" w:afterAutospacing="1"/>
        <w:ind w:left="708" w:firstLine="708"/>
        <w:rPr>
          <w:sz w:val="22"/>
          <w:szCs w:val="22"/>
          <w:lang w:val="es-CL" w:eastAsia="es-CL"/>
        </w:rPr>
      </w:pPr>
      <w:r w:rsidRPr="00252C1F">
        <w:rPr>
          <w:rFonts w:ascii="Arial" w:hAnsi="Arial" w:cs="Arial"/>
          <w:sz w:val="22"/>
          <w:szCs w:val="22"/>
          <w:lang w:val="es-CL" w:eastAsia="es-CL"/>
        </w:rPr>
        <w:t xml:space="preserve">Se obtiene de la siguiente operación: </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565"/>
        <w:gridCol w:w="1430"/>
        <w:gridCol w:w="3833"/>
      </w:tblGrid>
      <w:tr w:rsidR="009A0554" w:rsidRPr="00252C1F">
        <w:trPr>
          <w:jc w:val="center"/>
        </w:trPr>
        <w:tc>
          <w:tcPr>
            <w:tcW w:w="4210" w:type="dxa"/>
            <w:tcBorders>
              <w:top w:val="single" w:sz="4" w:space="0" w:color="auto"/>
              <w:left w:val="single" w:sz="4" w:space="0" w:color="auto"/>
              <w:bottom w:val="single" w:sz="4" w:space="0" w:color="auto"/>
              <w:right w:val="nil"/>
            </w:tcBorders>
          </w:tcPr>
          <w:p w:rsidR="00596F98" w:rsidRPr="00252C1F" w:rsidRDefault="00596F98" w:rsidP="007F049A">
            <w:pPr>
              <w:spacing w:before="100" w:beforeAutospacing="1" w:after="100" w:afterAutospacing="1"/>
              <w:jc w:val="center"/>
              <w:rPr>
                <w:sz w:val="22"/>
                <w:szCs w:val="22"/>
                <w:lang w:val="es-CL" w:eastAsia="es-CL"/>
              </w:rPr>
            </w:pPr>
            <w:r w:rsidRPr="00252C1F">
              <w:rPr>
                <w:rFonts w:ascii="Arial" w:hAnsi="Arial" w:cs="Arial"/>
                <w:b/>
                <w:bCs/>
                <w:sz w:val="22"/>
                <w:szCs w:val="22"/>
                <w:lang w:val="es-CL" w:eastAsia="es-CL"/>
              </w:rPr>
              <w:t xml:space="preserve">Ventas anuales </w:t>
            </w:r>
            <w:r w:rsidR="00056DA0" w:rsidRPr="00252C1F">
              <w:rPr>
                <w:rFonts w:ascii="Arial" w:hAnsi="Arial" w:cs="Arial"/>
                <w:b/>
                <w:bCs/>
                <w:sz w:val="22"/>
                <w:szCs w:val="22"/>
                <w:lang w:val="es-CL" w:eastAsia="es-CL"/>
              </w:rPr>
              <w:t xml:space="preserve">de PM </w:t>
            </w:r>
            <w:r w:rsidRPr="00252C1F">
              <w:rPr>
                <w:rFonts w:ascii="Arial" w:hAnsi="Arial" w:cs="Arial"/>
                <w:b/>
                <w:bCs/>
                <w:sz w:val="22"/>
                <w:szCs w:val="22"/>
                <w:lang w:val="es-CL" w:eastAsia="es-CL"/>
              </w:rPr>
              <w:t xml:space="preserve">en pesos </w:t>
            </w:r>
          </w:p>
        </w:tc>
        <w:tc>
          <w:tcPr>
            <w:tcW w:w="720" w:type="dxa"/>
            <w:vMerge w:val="restart"/>
            <w:tcBorders>
              <w:top w:val="single" w:sz="4" w:space="0" w:color="auto"/>
              <w:left w:val="nil"/>
              <w:bottom w:val="single" w:sz="4" w:space="0" w:color="auto"/>
              <w:right w:val="nil"/>
            </w:tcBorders>
          </w:tcPr>
          <w:p w:rsidR="00596F98" w:rsidRPr="00252C1F" w:rsidRDefault="00596F98" w:rsidP="007F049A">
            <w:pPr>
              <w:spacing w:before="100" w:beforeAutospacing="1" w:after="100" w:afterAutospacing="1"/>
              <w:ind w:right="-250"/>
              <w:rPr>
                <w:sz w:val="22"/>
                <w:szCs w:val="22"/>
                <w:lang w:val="es-CL" w:eastAsia="es-CL"/>
              </w:rPr>
            </w:pPr>
            <w:r w:rsidRPr="00252C1F">
              <w:rPr>
                <w:rFonts w:ascii="Arial" w:hAnsi="Arial" w:cs="Arial"/>
                <w:b/>
                <w:bCs/>
                <w:sz w:val="22"/>
                <w:szCs w:val="22"/>
                <w:lang w:val="es-CL" w:eastAsia="es-CL"/>
              </w:rPr>
              <w:t xml:space="preserve">                   = </w:t>
            </w:r>
          </w:p>
        </w:tc>
        <w:tc>
          <w:tcPr>
            <w:tcW w:w="4570" w:type="dxa"/>
            <w:vMerge w:val="restart"/>
            <w:tcBorders>
              <w:top w:val="single" w:sz="4" w:space="0" w:color="auto"/>
              <w:left w:val="nil"/>
              <w:bottom w:val="single" w:sz="4" w:space="0" w:color="auto"/>
              <w:right w:val="single" w:sz="4" w:space="0" w:color="auto"/>
            </w:tcBorders>
          </w:tcPr>
          <w:p w:rsidR="00596F98" w:rsidRPr="00252C1F" w:rsidRDefault="00596F98" w:rsidP="009A0554">
            <w:pPr>
              <w:spacing w:before="100" w:beforeAutospacing="1" w:after="100" w:afterAutospacing="1"/>
              <w:ind w:left="110"/>
              <w:jc w:val="center"/>
              <w:rPr>
                <w:sz w:val="22"/>
                <w:szCs w:val="22"/>
                <w:lang w:val="es-CL" w:eastAsia="es-CL"/>
              </w:rPr>
            </w:pPr>
            <w:r w:rsidRPr="00252C1F">
              <w:rPr>
                <w:rFonts w:ascii="Arial" w:hAnsi="Arial" w:cs="Arial"/>
                <w:b/>
                <w:bCs/>
                <w:sz w:val="22"/>
                <w:szCs w:val="22"/>
                <w:lang w:val="es-CL" w:eastAsia="es-CL"/>
              </w:rPr>
              <w:br/>
              <w:t xml:space="preserve">Ventas anuales en </w:t>
            </w:r>
            <w:r w:rsidR="009A0554">
              <w:rPr>
                <w:rFonts w:ascii="Arial" w:hAnsi="Arial" w:cs="Arial"/>
                <w:b/>
                <w:bCs/>
                <w:sz w:val="22"/>
                <w:szCs w:val="22"/>
                <w:lang w:val="es-CL" w:eastAsia="es-CL"/>
              </w:rPr>
              <w:t>TMCF</w:t>
            </w:r>
            <w:r w:rsidRPr="00252C1F">
              <w:rPr>
                <w:rFonts w:ascii="Arial" w:hAnsi="Arial" w:cs="Arial"/>
                <w:b/>
                <w:bCs/>
                <w:sz w:val="22"/>
                <w:szCs w:val="22"/>
                <w:lang w:val="es-CL" w:eastAsia="es-CL"/>
              </w:rPr>
              <w:t xml:space="preserve"> </w:t>
            </w:r>
          </w:p>
        </w:tc>
      </w:tr>
      <w:tr w:rsidR="009A0554" w:rsidRPr="00252C1F">
        <w:trPr>
          <w:jc w:val="center"/>
        </w:trPr>
        <w:tc>
          <w:tcPr>
            <w:tcW w:w="4210" w:type="dxa"/>
            <w:tcBorders>
              <w:top w:val="single" w:sz="4" w:space="0" w:color="auto"/>
              <w:left w:val="single" w:sz="4" w:space="0" w:color="auto"/>
              <w:bottom w:val="single" w:sz="4" w:space="0" w:color="auto"/>
              <w:right w:val="nil"/>
            </w:tcBorders>
          </w:tcPr>
          <w:p w:rsidR="00596F98" w:rsidRPr="00252C1F" w:rsidRDefault="00056DA0" w:rsidP="009A0554">
            <w:pPr>
              <w:spacing w:before="100" w:beforeAutospacing="1" w:after="100" w:afterAutospacing="1"/>
              <w:jc w:val="center"/>
              <w:rPr>
                <w:sz w:val="22"/>
                <w:szCs w:val="22"/>
                <w:lang w:val="es-CL" w:eastAsia="es-CL"/>
              </w:rPr>
            </w:pPr>
            <w:r w:rsidRPr="00252C1F">
              <w:rPr>
                <w:rFonts w:ascii="Arial" w:hAnsi="Arial" w:cs="Arial"/>
                <w:b/>
                <w:bCs/>
                <w:sz w:val="22"/>
                <w:szCs w:val="22"/>
                <w:lang w:val="es-CL" w:eastAsia="es-CL"/>
              </w:rPr>
              <w:t>Valor</w:t>
            </w:r>
            <w:r w:rsidR="00596F98" w:rsidRPr="00252C1F">
              <w:rPr>
                <w:rFonts w:ascii="Arial" w:hAnsi="Arial" w:cs="Arial"/>
                <w:b/>
                <w:bCs/>
                <w:sz w:val="22"/>
                <w:szCs w:val="22"/>
                <w:lang w:val="es-CL" w:eastAsia="es-CL"/>
              </w:rPr>
              <w:t xml:space="preserve"> promedio de la </w:t>
            </w:r>
            <w:r w:rsidR="009A0554">
              <w:rPr>
                <w:rFonts w:ascii="Arial" w:hAnsi="Arial" w:cs="Arial"/>
                <w:b/>
                <w:bCs/>
                <w:sz w:val="22"/>
                <w:szCs w:val="22"/>
                <w:lang w:val="es-CL" w:eastAsia="es-CL"/>
              </w:rPr>
              <w:t>TMCF</w:t>
            </w:r>
            <w:r w:rsidR="00596F98" w:rsidRPr="00252C1F">
              <w:rPr>
                <w:rFonts w:ascii="Arial" w:hAnsi="Arial" w:cs="Arial"/>
                <w:b/>
                <w:bCs/>
                <w:sz w:val="22"/>
                <w:szCs w:val="22"/>
                <w:lang w:val="es-CL" w:eastAsia="es-CL"/>
              </w:rPr>
              <w:t xml:space="preserve"> </w:t>
            </w:r>
          </w:p>
        </w:tc>
        <w:tc>
          <w:tcPr>
            <w:tcW w:w="0" w:type="auto"/>
            <w:vMerge/>
            <w:tcBorders>
              <w:top w:val="single" w:sz="4" w:space="0" w:color="auto"/>
              <w:left w:val="nil"/>
              <w:bottom w:val="single" w:sz="4" w:space="0" w:color="auto"/>
              <w:right w:val="nil"/>
            </w:tcBorders>
            <w:vAlign w:val="center"/>
          </w:tcPr>
          <w:p w:rsidR="00596F98" w:rsidRPr="00252C1F" w:rsidRDefault="00596F98" w:rsidP="007F049A">
            <w:pPr>
              <w:rPr>
                <w:sz w:val="22"/>
                <w:szCs w:val="22"/>
                <w:lang w:val="es-CL" w:eastAsia="es-CL"/>
              </w:rPr>
            </w:pPr>
          </w:p>
        </w:tc>
        <w:tc>
          <w:tcPr>
            <w:tcW w:w="0" w:type="auto"/>
            <w:vMerge/>
            <w:tcBorders>
              <w:top w:val="single" w:sz="4" w:space="0" w:color="auto"/>
              <w:left w:val="nil"/>
              <w:bottom w:val="single" w:sz="4" w:space="0" w:color="auto"/>
              <w:right w:val="single" w:sz="4" w:space="0" w:color="auto"/>
            </w:tcBorders>
            <w:vAlign w:val="center"/>
          </w:tcPr>
          <w:p w:rsidR="00596F98" w:rsidRPr="00252C1F" w:rsidRDefault="00596F98" w:rsidP="007F049A">
            <w:pPr>
              <w:rPr>
                <w:sz w:val="22"/>
                <w:szCs w:val="22"/>
                <w:lang w:val="es-CL" w:eastAsia="es-CL"/>
              </w:rPr>
            </w:pPr>
          </w:p>
        </w:tc>
      </w:tr>
    </w:tbl>
    <w:p w:rsidR="00596F98" w:rsidRPr="00252C1F" w:rsidRDefault="00056DA0" w:rsidP="00BE4740">
      <w:pPr>
        <w:numPr>
          <w:ilvl w:val="0"/>
          <w:numId w:val="22"/>
        </w:numPr>
        <w:spacing w:before="100" w:beforeAutospacing="1" w:after="100" w:afterAutospacing="1"/>
        <w:rPr>
          <w:b/>
          <w:sz w:val="22"/>
          <w:szCs w:val="22"/>
          <w:lang w:val="es-CL" w:eastAsia="es-CL"/>
        </w:rPr>
      </w:pPr>
      <w:r w:rsidRPr="00252C1F">
        <w:rPr>
          <w:rFonts w:ascii="Arial" w:hAnsi="Arial" w:cs="Arial"/>
          <w:b/>
          <w:bCs/>
          <w:sz w:val="22"/>
          <w:szCs w:val="22"/>
          <w:lang w:val="es-CL" w:eastAsia="es-CL"/>
        </w:rPr>
        <w:t>T</w:t>
      </w:r>
      <w:r w:rsidR="00596F98" w:rsidRPr="00252C1F">
        <w:rPr>
          <w:rFonts w:ascii="Arial" w:hAnsi="Arial" w:cs="Arial"/>
          <w:b/>
          <w:bCs/>
          <w:sz w:val="22"/>
          <w:szCs w:val="22"/>
          <w:lang w:val="es-CL" w:eastAsia="es-CL"/>
        </w:rPr>
        <w:t>asa de</w:t>
      </w:r>
      <w:r w:rsidR="00F3463A">
        <w:rPr>
          <w:rFonts w:ascii="Arial" w:hAnsi="Arial" w:cs="Arial"/>
          <w:b/>
          <w:bCs/>
          <w:sz w:val="22"/>
          <w:szCs w:val="22"/>
          <w:lang w:val="es-CL" w:eastAsia="es-CL"/>
        </w:rPr>
        <w:t>l</w:t>
      </w:r>
      <w:r w:rsidR="00596F98" w:rsidRPr="00252C1F">
        <w:rPr>
          <w:rFonts w:ascii="Arial" w:hAnsi="Arial" w:cs="Arial"/>
          <w:b/>
          <w:bCs/>
          <w:sz w:val="22"/>
          <w:szCs w:val="22"/>
          <w:lang w:val="es-CL" w:eastAsia="es-CL"/>
        </w:rPr>
        <w:t xml:space="preserve"> impuesto</w:t>
      </w:r>
      <w:r w:rsidRPr="00252C1F">
        <w:rPr>
          <w:rFonts w:ascii="Arial" w:hAnsi="Arial" w:cs="Arial"/>
          <w:b/>
          <w:bCs/>
          <w:sz w:val="22"/>
          <w:szCs w:val="22"/>
          <w:lang w:val="es-CL" w:eastAsia="es-CL"/>
        </w:rPr>
        <w:t>.</w:t>
      </w:r>
      <w:r w:rsidR="00596F98" w:rsidRPr="00252C1F">
        <w:rPr>
          <w:rFonts w:ascii="Arial" w:hAnsi="Arial" w:cs="Arial"/>
          <w:b/>
          <w:bCs/>
          <w:sz w:val="22"/>
          <w:szCs w:val="22"/>
          <w:lang w:val="es-CL" w:eastAsia="es-CL"/>
        </w:rPr>
        <w:t xml:space="preserve"> </w:t>
      </w:r>
      <w:r w:rsidR="00596F98" w:rsidRPr="00252C1F">
        <w:rPr>
          <w:rFonts w:ascii="Arial" w:hAnsi="Arial" w:cs="Arial"/>
          <w:sz w:val="22"/>
          <w:szCs w:val="22"/>
          <w:lang w:val="es-CL" w:eastAsia="es-CL"/>
        </w:rPr>
        <w:t xml:space="preserve">  </w:t>
      </w:r>
    </w:p>
    <w:p w:rsidR="00596F98" w:rsidRPr="00252C1F" w:rsidRDefault="00596F98" w:rsidP="00056DA0">
      <w:pPr>
        <w:spacing w:before="100" w:beforeAutospacing="1" w:after="100" w:afterAutospacing="1"/>
        <w:ind w:left="708"/>
        <w:jc w:val="both"/>
        <w:rPr>
          <w:sz w:val="22"/>
          <w:szCs w:val="22"/>
          <w:lang w:val="es-CL" w:eastAsia="es-CL"/>
        </w:rPr>
      </w:pPr>
      <w:r w:rsidRPr="00252C1F">
        <w:rPr>
          <w:rFonts w:ascii="Arial" w:hAnsi="Arial" w:cs="Arial"/>
          <w:sz w:val="22"/>
          <w:szCs w:val="22"/>
          <w:lang w:val="es-CL" w:eastAsia="es-CL"/>
        </w:rPr>
        <w:t>La tasa de</w:t>
      </w:r>
      <w:r w:rsidR="00056DA0" w:rsidRPr="00252C1F">
        <w:rPr>
          <w:rFonts w:ascii="Arial" w:hAnsi="Arial" w:cs="Arial"/>
          <w:sz w:val="22"/>
          <w:szCs w:val="22"/>
          <w:lang w:val="es-CL" w:eastAsia="es-CL"/>
        </w:rPr>
        <w:t xml:space="preserve">l </w:t>
      </w:r>
      <w:r w:rsidR="00056DA0" w:rsidRPr="006B4F7D">
        <w:rPr>
          <w:rFonts w:ascii="Arial" w:hAnsi="Arial" w:cs="Arial"/>
          <w:b/>
          <w:sz w:val="22"/>
          <w:szCs w:val="22"/>
          <w:lang w:val="es-CL" w:eastAsia="es-CL"/>
        </w:rPr>
        <w:t>IEM</w:t>
      </w:r>
      <w:r w:rsidRPr="00252C1F">
        <w:rPr>
          <w:rFonts w:ascii="Arial" w:hAnsi="Arial" w:cs="Arial"/>
          <w:sz w:val="22"/>
          <w:szCs w:val="22"/>
          <w:lang w:val="es-CL" w:eastAsia="es-CL"/>
        </w:rPr>
        <w:t xml:space="preserve"> que debe aplicarse sobre la </w:t>
      </w:r>
      <w:r w:rsidR="00056DA0" w:rsidRPr="006B4F7D">
        <w:rPr>
          <w:rFonts w:ascii="Arial" w:hAnsi="Arial" w:cs="Arial"/>
          <w:b/>
          <w:sz w:val="22"/>
          <w:szCs w:val="22"/>
          <w:lang w:val="es-CL" w:eastAsia="es-CL"/>
        </w:rPr>
        <w:t>RIOM</w:t>
      </w:r>
      <w:r w:rsidRPr="00252C1F">
        <w:rPr>
          <w:rFonts w:ascii="Arial" w:hAnsi="Arial" w:cs="Arial"/>
          <w:sz w:val="22"/>
          <w:szCs w:val="22"/>
          <w:lang w:val="es-CL" w:eastAsia="es-CL"/>
        </w:rPr>
        <w:t>, corresponderá a la que se determine calculando el promedio por tonelada, según la escala de tramos y tasas que se establece en l</w:t>
      </w:r>
      <w:r w:rsidR="007F3EA3" w:rsidRPr="00252C1F">
        <w:rPr>
          <w:rFonts w:ascii="Arial" w:hAnsi="Arial" w:cs="Arial"/>
          <w:sz w:val="22"/>
          <w:szCs w:val="22"/>
          <w:lang w:val="es-CL" w:eastAsia="es-CL"/>
        </w:rPr>
        <w:t>a</w:t>
      </w:r>
      <w:r w:rsidRPr="00252C1F">
        <w:rPr>
          <w:rFonts w:ascii="Arial" w:hAnsi="Arial" w:cs="Arial"/>
          <w:sz w:val="22"/>
          <w:szCs w:val="22"/>
          <w:lang w:val="es-CL" w:eastAsia="es-CL"/>
        </w:rPr>
        <w:t xml:space="preserve"> </w:t>
      </w:r>
      <w:r w:rsidR="007F3EA3" w:rsidRPr="00252C1F">
        <w:rPr>
          <w:rFonts w:ascii="Arial" w:hAnsi="Arial" w:cs="Arial"/>
          <w:sz w:val="22"/>
          <w:szCs w:val="22"/>
          <w:lang w:val="es-CL" w:eastAsia="es-CL"/>
        </w:rPr>
        <w:t>letra b),</w:t>
      </w:r>
      <w:r w:rsidRPr="00252C1F">
        <w:rPr>
          <w:rFonts w:ascii="Arial" w:hAnsi="Arial" w:cs="Arial"/>
          <w:sz w:val="22"/>
          <w:szCs w:val="22"/>
          <w:lang w:val="es-CL" w:eastAsia="es-CL"/>
        </w:rPr>
        <w:t xml:space="preserve"> del inciso </w:t>
      </w:r>
      <w:r w:rsidR="00332418" w:rsidRPr="00252C1F">
        <w:rPr>
          <w:rFonts w:ascii="Arial" w:hAnsi="Arial" w:cs="Arial"/>
          <w:sz w:val="22"/>
          <w:szCs w:val="22"/>
          <w:lang w:val="es-CL" w:eastAsia="es-CL"/>
        </w:rPr>
        <w:t>3°</w:t>
      </w:r>
      <w:r w:rsidR="007F3EA3" w:rsidRPr="00252C1F">
        <w:rPr>
          <w:rFonts w:ascii="Arial" w:hAnsi="Arial" w:cs="Arial"/>
          <w:sz w:val="22"/>
          <w:szCs w:val="22"/>
          <w:lang w:val="es-CL" w:eastAsia="es-CL"/>
        </w:rPr>
        <w:t>,</w:t>
      </w:r>
      <w:r w:rsidRPr="00252C1F">
        <w:rPr>
          <w:rFonts w:ascii="Arial" w:hAnsi="Arial" w:cs="Arial"/>
          <w:sz w:val="22"/>
          <w:szCs w:val="22"/>
          <w:lang w:val="es-CL" w:eastAsia="es-CL"/>
        </w:rPr>
        <w:t xml:space="preserve"> del artículo 64 bis</w:t>
      </w:r>
      <w:r w:rsidR="00332418" w:rsidRPr="00252C1F">
        <w:rPr>
          <w:rFonts w:ascii="Arial" w:hAnsi="Arial" w:cs="Arial"/>
          <w:sz w:val="22"/>
          <w:szCs w:val="22"/>
          <w:lang w:val="es-CL" w:eastAsia="es-CL"/>
        </w:rPr>
        <w:t>,</w:t>
      </w:r>
      <w:r w:rsidRPr="00252C1F">
        <w:rPr>
          <w:rFonts w:ascii="Arial" w:hAnsi="Arial" w:cs="Arial"/>
          <w:sz w:val="22"/>
          <w:szCs w:val="22"/>
          <w:lang w:val="es-CL" w:eastAsia="es-CL"/>
        </w:rPr>
        <w:t xml:space="preserve"> de la LlR. </w:t>
      </w:r>
    </w:p>
    <w:p w:rsidR="00596F98" w:rsidRDefault="00596F98" w:rsidP="00332418">
      <w:pPr>
        <w:spacing w:before="100" w:beforeAutospacing="1" w:after="100" w:afterAutospacing="1"/>
        <w:ind w:left="708"/>
        <w:jc w:val="both"/>
        <w:rPr>
          <w:rFonts w:ascii="Arial" w:hAnsi="Arial" w:cs="Arial"/>
          <w:sz w:val="22"/>
          <w:szCs w:val="22"/>
          <w:lang w:val="es-CL" w:eastAsia="es-CL"/>
        </w:rPr>
      </w:pPr>
      <w:r w:rsidRPr="00252C1F">
        <w:rPr>
          <w:rFonts w:ascii="Arial" w:hAnsi="Arial" w:cs="Arial"/>
          <w:sz w:val="22"/>
          <w:szCs w:val="22"/>
          <w:lang w:val="es-CL" w:eastAsia="es-CL"/>
        </w:rPr>
        <w:t xml:space="preserve">Efectuado este cálculo, las tasas </w:t>
      </w:r>
      <w:r w:rsidR="0003607E">
        <w:rPr>
          <w:rFonts w:ascii="Arial" w:hAnsi="Arial" w:cs="Arial"/>
          <w:sz w:val="22"/>
          <w:szCs w:val="22"/>
          <w:lang w:val="es-CL" w:eastAsia="es-CL"/>
        </w:rPr>
        <w:t xml:space="preserve">efectivas </w:t>
      </w:r>
      <w:r w:rsidRPr="00252C1F">
        <w:rPr>
          <w:rFonts w:ascii="Arial" w:hAnsi="Arial" w:cs="Arial"/>
          <w:sz w:val="22"/>
          <w:szCs w:val="22"/>
          <w:lang w:val="es-CL" w:eastAsia="es-CL"/>
        </w:rPr>
        <w:t>de impuesto en cada ca</w:t>
      </w:r>
      <w:r w:rsidR="0003607E">
        <w:rPr>
          <w:rFonts w:ascii="Arial" w:hAnsi="Arial" w:cs="Arial"/>
          <w:sz w:val="22"/>
          <w:szCs w:val="22"/>
          <w:lang w:val="es-CL" w:eastAsia="es-CL"/>
        </w:rPr>
        <w:t xml:space="preserve">so serán las que se indican en </w:t>
      </w:r>
      <w:r w:rsidR="0003607E" w:rsidRPr="0003607E">
        <w:rPr>
          <w:rFonts w:ascii="Arial" w:hAnsi="Arial" w:cs="Arial"/>
          <w:b/>
          <w:sz w:val="22"/>
          <w:szCs w:val="22"/>
          <w:lang w:val="es-CL" w:eastAsia="es-CL"/>
        </w:rPr>
        <w:t>A</w:t>
      </w:r>
      <w:r w:rsidRPr="0003607E">
        <w:rPr>
          <w:rFonts w:ascii="Arial" w:hAnsi="Arial" w:cs="Arial"/>
          <w:b/>
          <w:sz w:val="22"/>
          <w:szCs w:val="22"/>
          <w:lang w:val="es-CL" w:eastAsia="es-CL"/>
        </w:rPr>
        <w:t>nexo N°</w:t>
      </w:r>
      <w:r w:rsidR="00C52E9E" w:rsidRPr="0003607E">
        <w:rPr>
          <w:rFonts w:ascii="Arial" w:hAnsi="Arial" w:cs="Arial"/>
          <w:b/>
          <w:sz w:val="22"/>
          <w:szCs w:val="22"/>
          <w:lang w:val="es-CL" w:eastAsia="es-CL"/>
        </w:rPr>
        <w:t>4</w:t>
      </w:r>
      <w:r w:rsidR="00694F15" w:rsidRPr="00252C1F">
        <w:rPr>
          <w:rFonts w:ascii="Arial" w:hAnsi="Arial" w:cs="Arial"/>
          <w:sz w:val="22"/>
          <w:szCs w:val="22"/>
          <w:lang w:val="es-CL" w:eastAsia="es-CL"/>
        </w:rPr>
        <w:t xml:space="preserve"> de la presente Circular</w:t>
      </w:r>
      <w:r w:rsidRPr="00252C1F">
        <w:rPr>
          <w:rFonts w:ascii="Arial" w:hAnsi="Arial" w:cs="Arial"/>
          <w:sz w:val="22"/>
          <w:szCs w:val="22"/>
          <w:lang w:val="es-CL" w:eastAsia="es-CL"/>
        </w:rPr>
        <w:t xml:space="preserve">, según lo establecido en los numerales i) al </w:t>
      </w:r>
      <w:r w:rsidR="00E77009">
        <w:rPr>
          <w:rFonts w:ascii="Arial" w:hAnsi="Arial" w:cs="Arial"/>
          <w:sz w:val="22"/>
          <w:szCs w:val="22"/>
          <w:lang w:val="es-CL" w:eastAsia="es-CL"/>
        </w:rPr>
        <w:t>v</w:t>
      </w:r>
      <w:r w:rsidRPr="00252C1F">
        <w:rPr>
          <w:rFonts w:ascii="Arial" w:hAnsi="Arial" w:cs="Arial"/>
          <w:sz w:val="22"/>
          <w:szCs w:val="22"/>
          <w:lang w:val="es-CL" w:eastAsia="es-CL"/>
        </w:rPr>
        <w:t xml:space="preserve">ii) de la norma legal antes mencionada. </w:t>
      </w:r>
    </w:p>
    <w:p w:rsidR="00596F98" w:rsidRPr="00F3463A" w:rsidRDefault="00596F98" w:rsidP="00486D09">
      <w:pPr>
        <w:pStyle w:val="NormalWeb"/>
        <w:numPr>
          <w:ilvl w:val="0"/>
          <w:numId w:val="19"/>
        </w:numPr>
        <w:tabs>
          <w:tab w:val="left" w:pos="851"/>
        </w:tabs>
        <w:ind w:left="567" w:firstLine="0"/>
        <w:jc w:val="both"/>
        <w:rPr>
          <w:rFonts w:ascii="Arial" w:hAnsi="Arial" w:cs="Arial"/>
          <w:b/>
          <w:bCs/>
          <w:sz w:val="22"/>
          <w:szCs w:val="22"/>
        </w:rPr>
      </w:pPr>
      <w:r w:rsidRPr="00F3463A">
        <w:rPr>
          <w:rFonts w:ascii="Arial" w:hAnsi="Arial" w:cs="Arial"/>
          <w:b/>
          <w:bCs/>
          <w:sz w:val="22"/>
          <w:szCs w:val="22"/>
        </w:rPr>
        <w:t xml:space="preserve">Forma de calcular la tasa de impuesto aplicable a los </w:t>
      </w:r>
      <w:r w:rsidR="00332418" w:rsidRPr="00F3463A">
        <w:rPr>
          <w:rFonts w:ascii="Arial" w:hAnsi="Arial" w:cs="Arial"/>
          <w:b/>
          <w:bCs/>
          <w:sz w:val="22"/>
          <w:szCs w:val="22"/>
        </w:rPr>
        <w:t>EM</w:t>
      </w:r>
      <w:r w:rsidRPr="00F3463A">
        <w:rPr>
          <w:rFonts w:ascii="Arial" w:hAnsi="Arial" w:cs="Arial"/>
          <w:b/>
          <w:bCs/>
          <w:sz w:val="22"/>
          <w:szCs w:val="22"/>
        </w:rPr>
        <w:t xml:space="preserve"> cuyas ventas anuales</w:t>
      </w:r>
      <w:r w:rsidR="00332418" w:rsidRPr="00F3463A">
        <w:rPr>
          <w:rFonts w:ascii="Arial" w:hAnsi="Arial" w:cs="Arial"/>
          <w:b/>
          <w:bCs/>
          <w:sz w:val="22"/>
          <w:szCs w:val="22"/>
        </w:rPr>
        <w:t xml:space="preserve"> de PM</w:t>
      </w:r>
      <w:r w:rsidRPr="00F3463A">
        <w:rPr>
          <w:rFonts w:ascii="Arial" w:hAnsi="Arial" w:cs="Arial"/>
          <w:b/>
          <w:bCs/>
          <w:sz w:val="22"/>
          <w:szCs w:val="22"/>
        </w:rPr>
        <w:t xml:space="preserve"> excedan </w:t>
      </w:r>
      <w:r w:rsidR="00332418" w:rsidRPr="00F3463A">
        <w:rPr>
          <w:rFonts w:ascii="Arial" w:hAnsi="Arial" w:cs="Arial"/>
          <w:b/>
          <w:bCs/>
          <w:sz w:val="22"/>
          <w:szCs w:val="22"/>
        </w:rPr>
        <w:t>d</w:t>
      </w:r>
      <w:r w:rsidRPr="00F3463A">
        <w:rPr>
          <w:rFonts w:ascii="Arial" w:hAnsi="Arial" w:cs="Arial"/>
          <w:b/>
          <w:bCs/>
          <w:sz w:val="22"/>
          <w:szCs w:val="22"/>
        </w:rPr>
        <w:t xml:space="preserve">el valor equivalente a 50.000 </w:t>
      </w:r>
      <w:r w:rsidR="00F3463A">
        <w:rPr>
          <w:rFonts w:ascii="Arial" w:hAnsi="Arial" w:cs="Arial"/>
          <w:b/>
          <w:bCs/>
          <w:sz w:val="22"/>
          <w:szCs w:val="22"/>
        </w:rPr>
        <w:t>TMCF</w:t>
      </w:r>
      <w:r w:rsidRPr="00F3463A">
        <w:rPr>
          <w:rFonts w:ascii="Arial" w:hAnsi="Arial" w:cs="Arial"/>
          <w:b/>
          <w:bCs/>
          <w:sz w:val="22"/>
          <w:szCs w:val="22"/>
        </w:rPr>
        <w:t xml:space="preserve">. </w:t>
      </w:r>
    </w:p>
    <w:p w:rsidR="00596F98" w:rsidRPr="00252C1F" w:rsidRDefault="00596F98" w:rsidP="00F3463A">
      <w:pPr>
        <w:numPr>
          <w:ilvl w:val="0"/>
          <w:numId w:val="23"/>
        </w:numPr>
        <w:spacing w:before="100" w:beforeAutospacing="1" w:after="100" w:afterAutospacing="1"/>
        <w:ind w:left="993" w:firstLine="0"/>
        <w:rPr>
          <w:sz w:val="22"/>
          <w:szCs w:val="22"/>
          <w:lang w:val="es-CL" w:eastAsia="es-CL"/>
        </w:rPr>
      </w:pPr>
      <w:r w:rsidRPr="00252C1F">
        <w:rPr>
          <w:rFonts w:ascii="Arial" w:hAnsi="Arial" w:cs="Arial"/>
          <w:b/>
          <w:bCs/>
          <w:sz w:val="22"/>
          <w:szCs w:val="22"/>
          <w:lang w:val="es-CL" w:eastAsia="es-CL"/>
        </w:rPr>
        <w:t xml:space="preserve">Determinación de las </w:t>
      </w:r>
      <w:r w:rsidR="00F3463A">
        <w:rPr>
          <w:rFonts w:ascii="Arial" w:hAnsi="Arial" w:cs="Arial"/>
          <w:b/>
          <w:bCs/>
          <w:sz w:val="22"/>
          <w:szCs w:val="22"/>
          <w:lang w:val="es-CL" w:eastAsia="es-CL"/>
        </w:rPr>
        <w:t>TMCF</w:t>
      </w:r>
      <w:r w:rsidRPr="00252C1F">
        <w:rPr>
          <w:rFonts w:ascii="Arial" w:hAnsi="Arial" w:cs="Arial"/>
          <w:b/>
          <w:bCs/>
          <w:sz w:val="22"/>
          <w:szCs w:val="22"/>
          <w:lang w:val="es-CL" w:eastAsia="es-CL"/>
        </w:rPr>
        <w:t>.</w:t>
      </w:r>
    </w:p>
    <w:p w:rsidR="00596F98" w:rsidRPr="00252C1F" w:rsidRDefault="00596F98" w:rsidP="00F3463A">
      <w:pPr>
        <w:spacing w:before="100" w:beforeAutospacing="1" w:after="100" w:afterAutospacing="1"/>
        <w:ind w:left="1418"/>
        <w:rPr>
          <w:rFonts w:ascii="Arial" w:hAnsi="Arial" w:cs="Arial"/>
          <w:sz w:val="22"/>
          <w:szCs w:val="22"/>
          <w:lang w:val="es-CL" w:eastAsia="es-CL"/>
        </w:rPr>
      </w:pPr>
      <w:r w:rsidRPr="00252C1F">
        <w:rPr>
          <w:rFonts w:ascii="Arial" w:hAnsi="Arial" w:cs="Arial"/>
          <w:sz w:val="22"/>
          <w:szCs w:val="22"/>
          <w:lang w:val="es-CL" w:eastAsia="es-CL"/>
        </w:rPr>
        <w:t>Se obtiene de la forma indicada en l</w:t>
      </w:r>
      <w:r w:rsidR="00F465F0" w:rsidRPr="00252C1F">
        <w:rPr>
          <w:rFonts w:ascii="Arial" w:hAnsi="Arial" w:cs="Arial"/>
          <w:sz w:val="22"/>
          <w:szCs w:val="22"/>
          <w:lang w:val="es-CL" w:eastAsia="es-CL"/>
        </w:rPr>
        <w:t xml:space="preserve">a letra </w:t>
      </w:r>
      <w:r w:rsidR="00F465F0" w:rsidRPr="00F3463A">
        <w:rPr>
          <w:rFonts w:ascii="Arial" w:hAnsi="Arial" w:cs="Arial"/>
          <w:b/>
          <w:sz w:val="22"/>
          <w:szCs w:val="22"/>
          <w:lang w:val="es-CL" w:eastAsia="es-CL"/>
        </w:rPr>
        <w:t>(</w:t>
      </w:r>
      <w:r w:rsidR="00332418" w:rsidRPr="00F3463A">
        <w:rPr>
          <w:rFonts w:ascii="Arial" w:hAnsi="Arial" w:cs="Arial"/>
          <w:b/>
          <w:sz w:val="22"/>
          <w:szCs w:val="22"/>
          <w:lang w:val="es-CL" w:eastAsia="es-CL"/>
        </w:rPr>
        <w:t>d</w:t>
      </w:r>
      <w:r w:rsidR="00F465F0" w:rsidRPr="00F3463A">
        <w:rPr>
          <w:rFonts w:ascii="Arial" w:hAnsi="Arial" w:cs="Arial"/>
          <w:b/>
          <w:sz w:val="22"/>
          <w:szCs w:val="22"/>
          <w:lang w:val="es-CL" w:eastAsia="es-CL"/>
        </w:rPr>
        <w:t>.</w:t>
      </w:r>
      <w:r w:rsidR="00357B58" w:rsidRPr="00F3463A">
        <w:rPr>
          <w:rFonts w:ascii="Arial" w:hAnsi="Arial" w:cs="Arial"/>
          <w:b/>
          <w:sz w:val="22"/>
          <w:szCs w:val="22"/>
          <w:lang w:val="es-CL" w:eastAsia="es-CL"/>
        </w:rPr>
        <w:t>i</w:t>
      </w:r>
      <w:r w:rsidR="00F3463A">
        <w:rPr>
          <w:rFonts w:ascii="Arial" w:hAnsi="Arial" w:cs="Arial"/>
          <w:b/>
          <w:sz w:val="22"/>
          <w:szCs w:val="22"/>
          <w:lang w:val="es-CL" w:eastAsia="es-CL"/>
        </w:rPr>
        <w:t>.</w:t>
      </w:r>
      <w:r w:rsidR="00F465F0" w:rsidRPr="00F3463A">
        <w:rPr>
          <w:rFonts w:ascii="Arial" w:hAnsi="Arial" w:cs="Arial"/>
          <w:b/>
          <w:sz w:val="22"/>
          <w:szCs w:val="22"/>
          <w:lang w:val="es-CL" w:eastAsia="es-CL"/>
        </w:rPr>
        <w:t>)</w:t>
      </w:r>
      <w:r w:rsidRPr="00252C1F">
        <w:rPr>
          <w:rFonts w:ascii="Arial" w:hAnsi="Arial" w:cs="Arial"/>
          <w:sz w:val="22"/>
          <w:szCs w:val="22"/>
          <w:lang w:val="es-CL" w:eastAsia="es-CL"/>
        </w:rPr>
        <w:t xml:space="preserve"> anterior. </w:t>
      </w:r>
    </w:p>
    <w:p w:rsidR="00596F98" w:rsidRPr="00A91197" w:rsidRDefault="00F3463A" w:rsidP="00332418">
      <w:pPr>
        <w:numPr>
          <w:ilvl w:val="0"/>
          <w:numId w:val="23"/>
        </w:numPr>
        <w:spacing w:before="100" w:beforeAutospacing="1" w:after="100" w:afterAutospacing="1"/>
        <w:rPr>
          <w:b/>
          <w:sz w:val="22"/>
          <w:szCs w:val="22"/>
          <w:lang w:val="es-CL" w:eastAsia="es-CL"/>
        </w:rPr>
      </w:pPr>
      <w:r w:rsidRPr="00A91197">
        <w:rPr>
          <w:rFonts w:ascii="Arial" w:hAnsi="Arial" w:cs="Arial"/>
          <w:b/>
          <w:bCs/>
          <w:sz w:val="22"/>
          <w:szCs w:val="22"/>
          <w:lang w:val="es-CL" w:eastAsia="es-CL"/>
        </w:rPr>
        <w:t>T</w:t>
      </w:r>
      <w:r w:rsidR="00596F98" w:rsidRPr="00A91197">
        <w:rPr>
          <w:rFonts w:ascii="Arial" w:hAnsi="Arial" w:cs="Arial"/>
          <w:b/>
          <w:bCs/>
          <w:sz w:val="22"/>
          <w:szCs w:val="22"/>
          <w:lang w:val="es-CL" w:eastAsia="es-CL"/>
        </w:rPr>
        <w:t>asa de</w:t>
      </w:r>
      <w:r w:rsidRPr="00A91197">
        <w:rPr>
          <w:rFonts w:ascii="Arial" w:hAnsi="Arial" w:cs="Arial"/>
          <w:b/>
          <w:bCs/>
          <w:sz w:val="22"/>
          <w:szCs w:val="22"/>
          <w:lang w:val="es-CL" w:eastAsia="es-CL"/>
        </w:rPr>
        <w:t>l</w:t>
      </w:r>
      <w:r w:rsidR="00596F98" w:rsidRPr="00A91197">
        <w:rPr>
          <w:rFonts w:ascii="Arial" w:hAnsi="Arial" w:cs="Arial"/>
          <w:b/>
          <w:bCs/>
          <w:sz w:val="22"/>
          <w:szCs w:val="22"/>
          <w:lang w:val="es-CL" w:eastAsia="es-CL"/>
        </w:rPr>
        <w:t xml:space="preserve"> impuesto</w:t>
      </w:r>
      <w:r w:rsidR="00357B58" w:rsidRPr="00A91197">
        <w:rPr>
          <w:rFonts w:ascii="Arial" w:hAnsi="Arial" w:cs="Arial"/>
          <w:b/>
          <w:bCs/>
          <w:sz w:val="22"/>
          <w:szCs w:val="22"/>
          <w:lang w:val="es-CL" w:eastAsia="es-CL"/>
        </w:rPr>
        <w:t>.</w:t>
      </w:r>
      <w:r w:rsidR="00596F98" w:rsidRPr="00A91197">
        <w:rPr>
          <w:rFonts w:ascii="Arial" w:hAnsi="Arial" w:cs="Arial"/>
          <w:b/>
          <w:bCs/>
          <w:sz w:val="22"/>
          <w:szCs w:val="22"/>
          <w:lang w:val="es-CL" w:eastAsia="es-CL"/>
        </w:rPr>
        <w:t xml:space="preserve"> </w:t>
      </w:r>
      <w:r w:rsidR="00596F98" w:rsidRPr="00A91197">
        <w:rPr>
          <w:rFonts w:ascii="Arial" w:hAnsi="Arial" w:cs="Arial"/>
          <w:b/>
          <w:sz w:val="22"/>
          <w:szCs w:val="22"/>
          <w:lang w:val="es-CL" w:eastAsia="es-CL"/>
        </w:rPr>
        <w:t xml:space="preserve">  </w:t>
      </w:r>
    </w:p>
    <w:p w:rsidR="00596F98" w:rsidRPr="00A91197" w:rsidRDefault="00596F98" w:rsidP="00F3463A">
      <w:pPr>
        <w:spacing w:before="100" w:beforeAutospacing="1" w:after="100" w:afterAutospacing="1"/>
        <w:ind w:left="1418"/>
        <w:jc w:val="both"/>
        <w:rPr>
          <w:rFonts w:ascii="Arial" w:hAnsi="Arial" w:cs="Arial"/>
          <w:sz w:val="22"/>
          <w:szCs w:val="22"/>
          <w:lang w:val="es-CL" w:eastAsia="es-CL"/>
        </w:rPr>
      </w:pPr>
      <w:r w:rsidRPr="00A91197">
        <w:rPr>
          <w:rFonts w:ascii="Arial" w:hAnsi="Arial" w:cs="Arial"/>
          <w:sz w:val="22"/>
          <w:szCs w:val="22"/>
          <w:lang w:val="es-CL" w:eastAsia="es-CL"/>
        </w:rPr>
        <w:t xml:space="preserve">A los </w:t>
      </w:r>
      <w:r w:rsidR="00357B58" w:rsidRPr="00A91197">
        <w:rPr>
          <w:rFonts w:ascii="Arial" w:hAnsi="Arial" w:cs="Arial"/>
          <w:b/>
          <w:sz w:val="22"/>
          <w:szCs w:val="22"/>
          <w:lang w:val="es-CL" w:eastAsia="es-CL"/>
        </w:rPr>
        <w:t>EM</w:t>
      </w:r>
      <w:r w:rsidRPr="00A91197">
        <w:rPr>
          <w:rFonts w:ascii="Arial" w:hAnsi="Arial" w:cs="Arial"/>
          <w:sz w:val="22"/>
          <w:szCs w:val="22"/>
          <w:lang w:val="es-CL" w:eastAsia="es-CL"/>
        </w:rPr>
        <w:t xml:space="preserve"> cuyas ventas anuales</w:t>
      </w:r>
      <w:r w:rsidR="00357B58" w:rsidRPr="00A91197">
        <w:rPr>
          <w:rFonts w:ascii="Arial" w:hAnsi="Arial" w:cs="Arial"/>
          <w:sz w:val="22"/>
          <w:szCs w:val="22"/>
          <w:lang w:val="es-CL" w:eastAsia="es-CL"/>
        </w:rPr>
        <w:t xml:space="preserve"> de </w:t>
      </w:r>
      <w:r w:rsidR="00357B58" w:rsidRPr="00A91197">
        <w:rPr>
          <w:rFonts w:ascii="Arial" w:hAnsi="Arial" w:cs="Arial"/>
          <w:b/>
          <w:sz w:val="22"/>
          <w:szCs w:val="22"/>
          <w:lang w:val="es-CL" w:eastAsia="es-CL"/>
        </w:rPr>
        <w:t>PM</w:t>
      </w:r>
      <w:r w:rsidRPr="00A91197">
        <w:rPr>
          <w:rFonts w:ascii="Arial" w:hAnsi="Arial" w:cs="Arial"/>
          <w:sz w:val="22"/>
          <w:szCs w:val="22"/>
          <w:lang w:val="es-CL" w:eastAsia="es-CL"/>
        </w:rPr>
        <w:t xml:space="preserve"> excedan </w:t>
      </w:r>
      <w:r w:rsidR="00357B58" w:rsidRPr="00A91197">
        <w:rPr>
          <w:rFonts w:ascii="Arial" w:hAnsi="Arial" w:cs="Arial"/>
          <w:sz w:val="22"/>
          <w:szCs w:val="22"/>
          <w:lang w:val="es-CL" w:eastAsia="es-CL"/>
        </w:rPr>
        <w:t>del</w:t>
      </w:r>
      <w:r w:rsidRPr="00A91197">
        <w:rPr>
          <w:rFonts w:ascii="Arial" w:hAnsi="Arial" w:cs="Arial"/>
          <w:sz w:val="22"/>
          <w:szCs w:val="22"/>
          <w:lang w:val="es-CL" w:eastAsia="es-CL"/>
        </w:rPr>
        <w:t xml:space="preserve"> valor equivalente a 50.000 </w:t>
      </w:r>
      <w:r w:rsidR="001F5985" w:rsidRPr="00A91197">
        <w:rPr>
          <w:rFonts w:ascii="Arial" w:hAnsi="Arial" w:cs="Arial"/>
          <w:b/>
          <w:sz w:val="22"/>
          <w:szCs w:val="22"/>
          <w:lang w:val="es-CL" w:eastAsia="es-CL"/>
        </w:rPr>
        <w:t>TMCF</w:t>
      </w:r>
      <w:r w:rsidRPr="00A91197">
        <w:rPr>
          <w:rFonts w:ascii="Arial" w:hAnsi="Arial" w:cs="Arial"/>
          <w:sz w:val="22"/>
          <w:szCs w:val="22"/>
          <w:lang w:val="es-CL" w:eastAsia="es-CL"/>
        </w:rPr>
        <w:t>, se les aplicará la tasa</w:t>
      </w:r>
      <w:r w:rsidR="001F5985" w:rsidRPr="00A91197">
        <w:rPr>
          <w:rFonts w:ascii="Arial" w:hAnsi="Arial" w:cs="Arial"/>
          <w:sz w:val="22"/>
          <w:szCs w:val="22"/>
          <w:lang w:val="es-CL" w:eastAsia="es-CL"/>
        </w:rPr>
        <w:t xml:space="preserve"> </w:t>
      </w:r>
      <w:r w:rsidRPr="00A91197">
        <w:rPr>
          <w:rFonts w:ascii="Arial" w:hAnsi="Arial" w:cs="Arial"/>
          <w:sz w:val="22"/>
          <w:szCs w:val="22"/>
          <w:lang w:val="es-CL" w:eastAsia="es-CL"/>
        </w:rPr>
        <w:t xml:space="preserve">correspondiente al </w:t>
      </w:r>
      <w:r w:rsidR="00607085" w:rsidRPr="00A91197">
        <w:rPr>
          <w:rFonts w:ascii="Arial" w:hAnsi="Arial" w:cs="Arial"/>
          <w:b/>
          <w:sz w:val="22"/>
          <w:szCs w:val="22"/>
          <w:lang w:val="es-CL" w:eastAsia="es-CL"/>
        </w:rPr>
        <w:t>MOM</w:t>
      </w:r>
      <w:r w:rsidRPr="00A91197">
        <w:rPr>
          <w:rFonts w:ascii="Arial" w:hAnsi="Arial" w:cs="Arial"/>
          <w:sz w:val="22"/>
          <w:szCs w:val="22"/>
          <w:lang w:val="es-CL" w:eastAsia="es-CL"/>
        </w:rPr>
        <w:t xml:space="preserve"> del respectivo ejercicio</w:t>
      </w:r>
      <w:r w:rsidR="009E5430" w:rsidRPr="00A91197">
        <w:rPr>
          <w:rFonts w:ascii="Arial" w:hAnsi="Arial" w:cs="Arial"/>
          <w:sz w:val="22"/>
          <w:szCs w:val="22"/>
          <w:lang w:val="es-CL" w:eastAsia="es-CL"/>
        </w:rPr>
        <w:t xml:space="preserve">, el que de acuerdo a la Ley </w:t>
      </w:r>
      <w:r w:rsidRPr="00A91197">
        <w:rPr>
          <w:rFonts w:ascii="Arial" w:hAnsi="Arial" w:cs="Arial"/>
          <w:sz w:val="22"/>
          <w:szCs w:val="22"/>
          <w:lang w:val="es-CL" w:eastAsia="es-CL"/>
        </w:rPr>
        <w:t>se calcula</w:t>
      </w:r>
      <w:r w:rsidR="009E5430" w:rsidRPr="00A91197">
        <w:rPr>
          <w:rFonts w:ascii="Arial" w:hAnsi="Arial" w:cs="Arial"/>
          <w:sz w:val="22"/>
          <w:szCs w:val="22"/>
          <w:lang w:val="es-CL" w:eastAsia="es-CL"/>
        </w:rPr>
        <w:t xml:space="preserve"> de</w:t>
      </w:r>
      <w:r w:rsidRPr="00A91197">
        <w:rPr>
          <w:rFonts w:ascii="Arial" w:hAnsi="Arial" w:cs="Arial"/>
          <w:sz w:val="22"/>
          <w:szCs w:val="22"/>
          <w:lang w:val="es-CL" w:eastAsia="es-CL"/>
        </w:rPr>
        <w:t xml:space="preserve"> la </w:t>
      </w:r>
      <w:r w:rsidR="006C68F7" w:rsidRPr="00A91197">
        <w:rPr>
          <w:rFonts w:ascii="Arial" w:hAnsi="Arial" w:cs="Arial"/>
          <w:sz w:val="22"/>
          <w:szCs w:val="22"/>
          <w:lang w:val="es-CL" w:eastAsia="es-CL"/>
        </w:rPr>
        <w:t xml:space="preserve">siguiente </w:t>
      </w:r>
      <w:r w:rsidRPr="00A91197">
        <w:rPr>
          <w:rFonts w:ascii="Arial" w:hAnsi="Arial" w:cs="Arial"/>
          <w:sz w:val="22"/>
          <w:szCs w:val="22"/>
          <w:lang w:val="es-CL" w:eastAsia="es-CL"/>
        </w:rPr>
        <w:t>forma:</w:t>
      </w:r>
      <w:r w:rsidR="009E5430" w:rsidRPr="00A91197">
        <w:rPr>
          <w:rStyle w:val="Refdenotaalpie"/>
          <w:rFonts w:ascii="Arial" w:hAnsi="Arial" w:cs="Arial"/>
          <w:sz w:val="22"/>
          <w:szCs w:val="22"/>
          <w:lang w:val="es-CL" w:eastAsia="es-CL"/>
        </w:rPr>
        <w:footnoteReference w:id="9"/>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545"/>
        <w:gridCol w:w="1492"/>
        <w:gridCol w:w="3791"/>
      </w:tblGrid>
      <w:tr w:rsidR="00596F98" w:rsidRPr="00A91197" w:rsidTr="00513D11">
        <w:trPr>
          <w:jc w:val="center"/>
        </w:trPr>
        <w:tc>
          <w:tcPr>
            <w:tcW w:w="3995" w:type="dxa"/>
            <w:tcBorders>
              <w:top w:val="single" w:sz="4" w:space="0" w:color="auto"/>
              <w:left w:val="single" w:sz="4" w:space="0" w:color="auto"/>
              <w:bottom w:val="single" w:sz="4" w:space="0" w:color="auto"/>
              <w:right w:val="nil"/>
            </w:tcBorders>
          </w:tcPr>
          <w:p w:rsidR="00596F98" w:rsidRPr="00A91197" w:rsidRDefault="0003607E" w:rsidP="0003607E">
            <w:pPr>
              <w:spacing w:before="100" w:beforeAutospacing="1" w:after="100" w:afterAutospacing="1"/>
              <w:ind w:right="240"/>
              <w:jc w:val="center"/>
              <w:rPr>
                <w:sz w:val="22"/>
                <w:szCs w:val="22"/>
                <w:lang w:val="es-CL" w:eastAsia="es-CL"/>
              </w:rPr>
            </w:pPr>
            <w:r w:rsidRPr="00A91197">
              <w:rPr>
                <w:rFonts w:ascii="Arial" w:hAnsi="Arial" w:cs="Arial"/>
                <w:b/>
                <w:bCs/>
                <w:sz w:val="22"/>
                <w:szCs w:val="22"/>
                <w:lang w:val="es-CL" w:eastAsia="es-CL"/>
              </w:rPr>
              <w:t>R</w:t>
            </w:r>
            <w:r w:rsidR="00596F98" w:rsidRPr="00A91197">
              <w:rPr>
                <w:rFonts w:ascii="Arial" w:hAnsi="Arial" w:cs="Arial"/>
                <w:b/>
                <w:bCs/>
                <w:sz w:val="22"/>
                <w:szCs w:val="22"/>
                <w:lang w:val="es-CL" w:eastAsia="es-CL"/>
              </w:rPr>
              <w:t>IO</w:t>
            </w:r>
            <w:r w:rsidRPr="00A91197">
              <w:rPr>
                <w:rFonts w:ascii="Arial" w:hAnsi="Arial" w:cs="Arial"/>
                <w:b/>
                <w:bCs/>
                <w:sz w:val="22"/>
                <w:szCs w:val="22"/>
                <w:lang w:val="es-CL" w:eastAsia="es-CL"/>
              </w:rPr>
              <w:t>M</w:t>
            </w:r>
            <w:r w:rsidR="00596F98" w:rsidRPr="00A91197">
              <w:rPr>
                <w:rFonts w:ascii="Arial" w:hAnsi="Arial" w:cs="Arial"/>
                <w:b/>
                <w:bCs/>
                <w:sz w:val="22"/>
                <w:szCs w:val="22"/>
                <w:lang w:val="es-CL" w:eastAsia="es-CL"/>
              </w:rPr>
              <w:t xml:space="preserve"> </w:t>
            </w:r>
          </w:p>
        </w:tc>
        <w:tc>
          <w:tcPr>
            <w:tcW w:w="671" w:type="dxa"/>
            <w:vMerge w:val="restart"/>
            <w:tcBorders>
              <w:top w:val="single" w:sz="4" w:space="0" w:color="auto"/>
              <w:left w:val="nil"/>
              <w:bottom w:val="single" w:sz="4" w:space="0" w:color="auto"/>
              <w:right w:val="nil"/>
            </w:tcBorders>
          </w:tcPr>
          <w:p w:rsidR="00596F98" w:rsidRPr="00A91197" w:rsidRDefault="00596F98" w:rsidP="007F049A">
            <w:pPr>
              <w:spacing w:before="100" w:beforeAutospacing="1" w:after="100" w:afterAutospacing="1"/>
              <w:ind w:right="-1025"/>
              <w:rPr>
                <w:sz w:val="22"/>
                <w:szCs w:val="22"/>
                <w:lang w:val="es-CL" w:eastAsia="es-CL"/>
              </w:rPr>
            </w:pPr>
            <w:r w:rsidRPr="00A91197">
              <w:rPr>
                <w:rFonts w:ascii="Arial" w:hAnsi="Arial" w:cs="Arial"/>
                <w:b/>
                <w:bCs/>
                <w:sz w:val="22"/>
                <w:szCs w:val="22"/>
                <w:lang w:val="es-CL" w:eastAsia="es-CL"/>
              </w:rPr>
              <w:t>              </w:t>
            </w:r>
            <w:r w:rsidRPr="00A91197">
              <w:rPr>
                <w:rFonts w:ascii="Arial" w:hAnsi="Arial" w:cs="Arial"/>
                <w:b/>
                <w:bCs/>
                <w:sz w:val="24"/>
                <w:szCs w:val="24"/>
                <w:lang w:val="es-CL" w:eastAsia="es-CL"/>
              </w:rPr>
              <w:t xml:space="preserve">X </w:t>
            </w:r>
            <w:r w:rsidRPr="00A91197">
              <w:rPr>
                <w:rFonts w:ascii="Arial" w:hAnsi="Arial" w:cs="Arial"/>
                <w:b/>
                <w:bCs/>
                <w:sz w:val="22"/>
                <w:szCs w:val="22"/>
                <w:lang w:val="es-CL" w:eastAsia="es-CL"/>
              </w:rPr>
              <w:t xml:space="preserve">  X  X 100=  = </w:t>
            </w:r>
          </w:p>
        </w:tc>
        <w:tc>
          <w:tcPr>
            <w:tcW w:w="4312" w:type="dxa"/>
            <w:vMerge w:val="restart"/>
            <w:tcBorders>
              <w:top w:val="single" w:sz="4" w:space="0" w:color="auto"/>
              <w:left w:val="nil"/>
              <w:bottom w:val="single" w:sz="4" w:space="0" w:color="auto"/>
              <w:right w:val="single" w:sz="4" w:space="0" w:color="auto"/>
            </w:tcBorders>
          </w:tcPr>
          <w:p w:rsidR="00596F98" w:rsidRPr="00A91197" w:rsidRDefault="00596F98" w:rsidP="0003607E">
            <w:pPr>
              <w:spacing w:before="100" w:beforeAutospacing="1" w:after="100" w:afterAutospacing="1"/>
              <w:ind w:left="110"/>
              <w:jc w:val="center"/>
              <w:rPr>
                <w:rFonts w:ascii="Arial" w:hAnsi="Arial" w:cs="Arial"/>
                <w:b/>
                <w:sz w:val="22"/>
                <w:szCs w:val="22"/>
                <w:lang w:val="es-CL" w:eastAsia="es-CL"/>
              </w:rPr>
            </w:pPr>
            <w:r w:rsidRPr="00A91197">
              <w:rPr>
                <w:rFonts w:ascii="Arial" w:hAnsi="Arial" w:cs="Arial"/>
                <w:b/>
                <w:bCs/>
                <w:sz w:val="22"/>
                <w:szCs w:val="22"/>
                <w:lang w:val="es-CL" w:eastAsia="es-CL"/>
              </w:rPr>
              <w:br/>
            </w:r>
            <w:r w:rsidRPr="00A91197">
              <w:rPr>
                <w:rFonts w:ascii="Arial" w:hAnsi="Arial" w:cs="Arial"/>
                <w:b/>
                <w:sz w:val="22"/>
                <w:szCs w:val="22"/>
                <w:lang w:val="es-CL" w:eastAsia="es-CL"/>
              </w:rPr>
              <w:t>MOM</w:t>
            </w:r>
          </w:p>
        </w:tc>
      </w:tr>
      <w:tr w:rsidR="00596F98" w:rsidRPr="00A91197" w:rsidTr="00513D11">
        <w:trPr>
          <w:jc w:val="center"/>
        </w:trPr>
        <w:tc>
          <w:tcPr>
            <w:tcW w:w="3995" w:type="dxa"/>
            <w:tcBorders>
              <w:top w:val="single" w:sz="4" w:space="0" w:color="auto"/>
              <w:left w:val="single" w:sz="4" w:space="0" w:color="auto"/>
              <w:bottom w:val="single" w:sz="4" w:space="0" w:color="auto"/>
              <w:right w:val="nil"/>
            </w:tcBorders>
          </w:tcPr>
          <w:p w:rsidR="00596F98" w:rsidRPr="00A91197" w:rsidRDefault="00596F98" w:rsidP="0003607E">
            <w:pPr>
              <w:spacing w:before="100" w:beforeAutospacing="1" w:after="100" w:afterAutospacing="1"/>
              <w:jc w:val="center"/>
              <w:rPr>
                <w:sz w:val="22"/>
                <w:szCs w:val="22"/>
                <w:lang w:val="es-CL" w:eastAsia="es-CL"/>
              </w:rPr>
            </w:pPr>
            <w:r w:rsidRPr="00A91197">
              <w:rPr>
                <w:rFonts w:ascii="Arial" w:hAnsi="Arial" w:cs="Arial"/>
                <w:b/>
                <w:bCs/>
                <w:sz w:val="22"/>
                <w:szCs w:val="22"/>
                <w:lang w:val="es-CL" w:eastAsia="es-CL"/>
              </w:rPr>
              <w:t>IOM</w:t>
            </w:r>
          </w:p>
        </w:tc>
        <w:tc>
          <w:tcPr>
            <w:tcW w:w="0" w:type="auto"/>
            <w:vMerge/>
            <w:tcBorders>
              <w:top w:val="single" w:sz="4" w:space="0" w:color="auto"/>
              <w:left w:val="nil"/>
              <w:bottom w:val="single" w:sz="4" w:space="0" w:color="auto"/>
              <w:right w:val="nil"/>
            </w:tcBorders>
            <w:vAlign w:val="center"/>
          </w:tcPr>
          <w:p w:rsidR="00596F98" w:rsidRPr="00A91197" w:rsidRDefault="00596F98" w:rsidP="007F049A">
            <w:pPr>
              <w:rPr>
                <w:sz w:val="22"/>
                <w:szCs w:val="22"/>
                <w:lang w:val="es-CL" w:eastAsia="es-CL"/>
              </w:rPr>
            </w:pPr>
          </w:p>
        </w:tc>
        <w:tc>
          <w:tcPr>
            <w:tcW w:w="0" w:type="auto"/>
            <w:vMerge/>
            <w:tcBorders>
              <w:top w:val="single" w:sz="4" w:space="0" w:color="auto"/>
              <w:left w:val="nil"/>
              <w:bottom w:val="single" w:sz="4" w:space="0" w:color="auto"/>
              <w:right w:val="single" w:sz="4" w:space="0" w:color="auto"/>
            </w:tcBorders>
            <w:vAlign w:val="center"/>
          </w:tcPr>
          <w:p w:rsidR="00596F98" w:rsidRPr="00A91197" w:rsidRDefault="00596F98" w:rsidP="007F049A">
            <w:pPr>
              <w:rPr>
                <w:sz w:val="22"/>
                <w:szCs w:val="22"/>
                <w:lang w:val="es-CL" w:eastAsia="es-CL"/>
              </w:rPr>
            </w:pPr>
          </w:p>
        </w:tc>
      </w:tr>
    </w:tbl>
    <w:p w:rsidR="00596F98" w:rsidRPr="00A91197" w:rsidRDefault="00596F98" w:rsidP="00694F15">
      <w:pPr>
        <w:pStyle w:val="NormalWeb"/>
        <w:numPr>
          <w:ilvl w:val="0"/>
          <w:numId w:val="19"/>
        </w:numPr>
        <w:jc w:val="both"/>
        <w:rPr>
          <w:sz w:val="22"/>
          <w:szCs w:val="22"/>
        </w:rPr>
      </w:pPr>
      <w:r w:rsidRPr="00A91197">
        <w:rPr>
          <w:rFonts w:ascii="Arial" w:hAnsi="Arial" w:cs="Arial"/>
          <w:b/>
          <w:bCs/>
          <w:sz w:val="22"/>
          <w:szCs w:val="22"/>
        </w:rPr>
        <w:t xml:space="preserve">Determinación de la </w:t>
      </w:r>
      <w:r w:rsidR="00694F15" w:rsidRPr="00A91197">
        <w:rPr>
          <w:rFonts w:ascii="Arial" w:hAnsi="Arial" w:cs="Arial"/>
          <w:b/>
          <w:bCs/>
          <w:sz w:val="22"/>
          <w:szCs w:val="22"/>
        </w:rPr>
        <w:t>RIOM.</w:t>
      </w:r>
      <w:r w:rsidRPr="00A91197">
        <w:rPr>
          <w:rFonts w:ascii="Arial" w:hAnsi="Arial" w:cs="Arial"/>
          <w:b/>
          <w:bCs/>
          <w:sz w:val="22"/>
          <w:szCs w:val="22"/>
        </w:rPr>
        <w:t xml:space="preserve">  </w:t>
      </w:r>
      <w:r w:rsidRPr="00A91197">
        <w:rPr>
          <w:rFonts w:ascii="Arial" w:hAnsi="Arial" w:cs="Arial"/>
          <w:sz w:val="22"/>
          <w:szCs w:val="22"/>
        </w:rPr>
        <w:t xml:space="preserve"> </w:t>
      </w:r>
    </w:p>
    <w:p w:rsidR="00596F98" w:rsidRPr="00252C1F" w:rsidRDefault="00A91197" w:rsidP="007941D4">
      <w:pPr>
        <w:tabs>
          <w:tab w:val="left" w:pos="-284"/>
        </w:tabs>
        <w:suppressAutoHyphens/>
        <w:ind w:left="284"/>
        <w:jc w:val="both"/>
        <w:rPr>
          <w:rFonts w:ascii="Arial" w:hAnsi="Arial" w:cs="Arial"/>
          <w:sz w:val="22"/>
          <w:szCs w:val="22"/>
          <w:lang w:val="es-CL" w:eastAsia="es-CL"/>
        </w:rPr>
      </w:pPr>
      <w:r>
        <w:rPr>
          <w:rFonts w:ascii="Arial" w:hAnsi="Arial" w:cs="Arial"/>
          <w:spacing w:val="-3"/>
          <w:sz w:val="22"/>
          <w:szCs w:val="22"/>
          <w:lang w:val="es-ES_tradnl"/>
        </w:rPr>
        <w:t xml:space="preserve">La RIOM, conforme a lo dispuesto por el </w:t>
      </w:r>
      <w:r w:rsidR="00596F98" w:rsidRPr="00252C1F">
        <w:rPr>
          <w:rFonts w:ascii="Arial" w:hAnsi="Arial" w:cs="Arial"/>
          <w:spacing w:val="-3"/>
          <w:sz w:val="22"/>
          <w:szCs w:val="22"/>
          <w:lang w:val="es-ES_tradnl"/>
        </w:rPr>
        <w:t>artículo 64 ter</w:t>
      </w:r>
      <w:r w:rsidR="007941D4" w:rsidRPr="00252C1F">
        <w:rPr>
          <w:rFonts w:ascii="Arial" w:hAnsi="Arial" w:cs="Arial"/>
          <w:spacing w:val="-3"/>
          <w:sz w:val="22"/>
          <w:szCs w:val="22"/>
          <w:lang w:val="es-ES_tradnl"/>
        </w:rPr>
        <w:t>, de la LIR</w:t>
      </w:r>
      <w:r>
        <w:rPr>
          <w:rFonts w:ascii="Arial" w:hAnsi="Arial" w:cs="Arial"/>
          <w:spacing w:val="-3"/>
          <w:sz w:val="22"/>
          <w:szCs w:val="22"/>
          <w:lang w:val="es-ES_tradnl"/>
        </w:rPr>
        <w:t>, se obtiene efectuando a la RLI determinada de acuerdo a los artículos 29 al 33 de la misma Ley</w:t>
      </w:r>
      <w:r w:rsidR="004368BB">
        <w:rPr>
          <w:rFonts w:ascii="Arial" w:hAnsi="Arial" w:cs="Arial"/>
          <w:spacing w:val="-3"/>
          <w:sz w:val="22"/>
          <w:szCs w:val="22"/>
          <w:lang w:val="es-ES_tradnl"/>
        </w:rPr>
        <w:t>, los ajustes que señala</w:t>
      </w:r>
      <w:r w:rsidR="00596F98" w:rsidRPr="00252C1F">
        <w:rPr>
          <w:rFonts w:ascii="Arial" w:hAnsi="Arial" w:cs="Arial"/>
          <w:sz w:val="22"/>
          <w:szCs w:val="22"/>
          <w:lang w:val="es-CL" w:eastAsia="es-CL"/>
        </w:rPr>
        <w:t xml:space="preserve">. En </w:t>
      </w:r>
      <w:r w:rsidR="006A01DE" w:rsidRPr="00252C1F">
        <w:rPr>
          <w:rFonts w:ascii="Arial" w:hAnsi="Arial" w:cs="Arial"/>
          <w:sz w:val="22"/>
          <w:szCs w:val="22"/>
          <w:lang w:val="es-CL" w:eastAsia="es-CL"/>
        </w:rPr>
        <w:t xml:space="preserve">el </w:t>
      </w:r>
      <w:r w:rsidR="004368BB">
        <w:rPr>
          <w:rFonts w:ascii="Arial" w:hAnsi="Arial" w:cs="Arial"/>
          <w:b/>
          <w:sz w:val="22"/>
          <w:szCs w:val="22"/>
          <w:lang w:val="es-CL" w:eastAsia="es-CL"/>
        </w:rPr>
        <w:t>A</w:t>
      </w:r>
      <w:r w:rsidR="00596F98" w:rsidRPr="004368BB">
        <w:rPr>
          <w:rFonts w:ascii="Arial" w:hAnsi="Arial" w:cs="Arial"/>
          <w:b/>
          <w:sz w:val="22"/>
          <w:szCs w:val="22"/>
          <w:lang w:val="es-CL" w:eastAsia="es-CL"/>
        </w:rPr>
        <w:t>nexo N°</w:t>
      </w:r>
      <w:r w:rsidR="000A35AB" w:rsidRPr="004368BB">
        <w:rPr>
          <w:rFonts w:ascii="Arial" w:hAnsi="Arial" w:cs="Arial"/>
          <w:b/>
          <w:sz w:val="22"/>
          <w:szCs w:val="22"/>
          <w:lang w:val="es-CL" w:eastAsia="es-CL"/>
        </w:rPr>
        <w:t>6</w:t>
      </w:r>
      <w:r w:rsidR="006A01DE" w:rsidRPr="00252C1F">
        <w:rPr>
          <w:rFonts w:ascii="Arial" w:hAnsi="Arial" w:cs="Arial"/>
          <w:sz w:val="22"/>
          <w:szCs w:val="22"/>
          <w:lang w:val="es-CL" w:eastAsia="es-CL"/>
        </w:rPr>
        <w:t xml:space="preserve"> de la presente Circular,</w:t>
      </w:r>
      <w:r w:rsidR="000A35AB" w:rsidRPr="00252C1F">
        <w:rPr>
          <w:rFonts w:ascii="Arial" w:hAnsi="Arial" w:cs="Arial"/>
          <w:sz w:val="22"/>
          <w:szCs w:val="22"/>
          <w:lang w:val="es-CL" w:eastAsia="es-CL"/>
        </w:rPr>
        <w:t xml:space="preserve"> </w:t>
      </w:r>
      <w:r w:rsidR="00596F98" w:rsidRPr="00252C1F">
        <w:rPr>
          <w:rFonts w:ascii="Arial" w:hAnsi="Arial" w:cs="Arial"/>
          <w:sz w:val="22"/>
          <w:szCs w:val="22"/>
          <w:lang w:val="es-CL" w:eastAsia="es-CL"/>
        </w:rPr>
        <w:t xml:space="preserve">se contiene un cuadro explicativo </w:t>
      </w:r>
      <w:r w:rsidR="004368BB">
        <w:rPr>
          <w:rFonts w:ascii="Arial" w:hAnsi="Arial" w:cs="Arial"/>
          <w:sz w:val="22"/>
          <w:szCs w:val="22"/>
          <w:lang w:val="es-CL" w:eastAsia="es-CL"/>
        </w:rPr>
        <w:t>sobre</w:t>
      </w:r>
      <w:r w:rsidR="00596F98" w:rsidRPr="00252C1F">
        <w:rPr>
          <w:rFonts w:ascii="Arial" w:hAnsi="Arial" w:cs="Arial"/>
          <w:sz w:val="22"/>
          <w:szCs w:val="22"/>
          <w:lang w:val="es-CL" w:eastAsia="es-CL"/>
        </w:rPr>
        <w:t xml:space="preserve"> la forma de </w:t>
      </w:r>
      <w:r w:rsidR="006A01DE" w:rsidRPr="00252C1F">
        <w:rPr>
          <w:rFonts w:ascii="Arial" w:hAnsi="Arial" w:cs="Arial"/>
          <w:sz w:val="22"/>
          <w:szCs w:val="22"/>
          <w:lang w:val="es-CL" w:eastAsia="es-CL"/>
        </w:rPr>
        <w:t>calcular</w:t>
      </w:r>
      <w:r w:rsidR="00596F98" w:rsidRPr="00252C1F">
        <w:rPr>
          <w:rFonts w:ascii="Arial" w:hAnsi="Arial" w:cs="Arial"/>
          <w:sz w:val="22"/>
          <w:szCs w:val="22"/>
          <w:lang w:val="es-CL" w:eastAsia="es-CL"/>
        </w:rPr>
        <w:t xml:space="preserve"> dicha </w:t>
      </w:r>
      <w:r w:rsidR="006A01DE" w:rsidRPr="006B4F7D">
        <w:rPr>
          <w:rFonts w:ascii="Arial" w:hAnsi="Arial" w:cs="Arial"/>
          <w:b/>
          <w:sz w:val="22"/>
          <w:szCs w:val="22"/>
          <w:lang w:val="es-CL" w:eastAsia="es-CL"/>
        </w:rPr>
        <w:t>RIOM</w:t>
      </w:r>
      <w:r w:rsidR="00596F98" w:rsidRPr="00252C1F">
        <w:rPr>
          <w:rFonts w:ascii="Arial" w:hAnsi="Arial" w:cs="Arial"/>
          <w:sz w:val="22"/>
          <w:szCs w:val="22"/>
          <w:lang w:val="es-CL" w:eastAsia="es-CL"/>
        </w:rPr>
        <w:t>.</w:t>
      </w:r>
    </w:p>
    <w:p w:rsidR="00596F98" w:rsidRPr="00252C1F" w:rsidRDefault="00596F98" w:rsidP="00596F98">
      <w:pPr>
        <w:spacing w:before="100" w:beforeAutospacing="1" w:after="100" w:afterAutospacing="1"/>
        <w:jc w:val="both"/>
        <w:rPr>
          <w:sz w:val="22"/>
          <w:szCs w:val="22"/>
          <w:lang w:val="es-CL" w:eastAsia="es-CL"/>
        </w:rPr>
      </w:pPr>
      <w:r w:rsidRPr="00252C1F">
        <w:rPr>
          <w:rFonts w:ascii="Arial" w:hAnsi="Arial" w:cs="Arial"/>
          <w:b/>
          <w:bCs/>
          <w:sz w:val="22"/>
          <w:szCs w:val="22"/>
          <w:lang w:val="es-CL" w:eastAsia="es-CL"/>
        </w:rPr>
        <w:t>(</w:t>
      </w:r>
      <w:r w:rsidR="007941D4" w:rsidRPr="00252C1F">
        <w:rPr>
          <w:rFonts w:ascii="Arial" w:hAnsi="Arial" w:cs="Arial"/>
          <w:b/>
          <w:bCs/>
          <w:sz w:val="22"/>
          <w:szCs w:val="22"/>
          <w:lang w:val="es-CL" w:eastAsia="es-CL"/>
        </w:rPr>
        <w:t>3</w:t>
      </w:r>
      <w:r w:rsidRPr="00252C1F">
        <w:rPr>
          <w:rFonts w:ascii="Arial" w:hAnsi="Arial" w:cs="Arial"/>
          <w:b/>
          <w:bCs/>
          <w:sz w:val="22"/>
          <w:szCs w:val="22"/>
          <w:lang w:val="es-CL" w:eastAsia="es-CL"/>
        </w:rPr>
        <w:t xml:space="preserve">)  Determinación del </w:t>
      </w:r>
      <w:r w:rsidR="006A01DE" w:rsidRPr="00252C1F">
        <w:rPr>
          <w:rFonts w:ascii="Arial" w:hAnsi="Arial" w:cs="Arial"/>
          <w:b/>
          <w:bCs/>
          <w:sz w:val="22"/>
          <w:szCs w:val="22"/>
          <w:lang w:val="es-CL" w:eastAsia="es-CL"/>
        </w:rPr>
        <w:t>IEM.</w:t>
      </w:r>
    </w:p>
    <w:p w:rsidR="00596F98" w:rsidRDefault="00596F98" w:rsidP="00950220">
      <w:pPr>
        <w:spacing w:before="100" w:beforeAutospacing="1" w:after="100" w:afterAutospacing="1"/>
        <w:jc w:val="both"/>
        <w:rPr>
          <w:rFonts w:ascii="Arial" w:hAnsi="Arial" w:cs="Arial"/>
          <w:sz w:val="22"/>
          <w:szCs w:val="22"/>
          <w:lang w:val="es-CL" w:eastAsia="es-CL"/>
        </w:rPr>
      </w:pPr>
      <w:r w:rsidRPr="00C57ACD">
        <w:rPr>
          <w:rFonts w:ascii="Arial" w:hAnsi="Arial" w:cs="Arial"/>
          <w:sz w:val="22"/>
          <w:szCs w:val="22"/>
          <w:lang w:val="es-CL" w:eastAsia="es-CL"/>
        </w:rPr>
        <w:t>E</w:t>
      </w:r>
      <w:r w:rsidR="00364A97" w:rsidRPr="00C57ACD">
        <w:rPr>
          <w:rFonts w:ascii="Arial" w:hAnsi="Arial" w:cs="Arial"/>
          <w:sz w:val="22"/>
          <w:szCs w:val="22"/>
          <w:lang w:val="es-CL" w:eastAsia="es-CL"/>
        </w:rPr>
        <w:t>ste</w:t>
      </w:r>
      <w:r w:rsidRPr="00C57ACD">
        <w:rPr>
          <w:rFonts w:ascii="Arial" w:hAnsi="Arial" w:cs="Arial"/>
          <w:sz w:val="22"/>
          <w:szCs w:val="22"/>
          <w:lang w:val="es-CL" w:eastAsia="es-CL"/>
        </w:rPr>
        <w:t xml:space="preserve"> impuesto se determina </w:t>
      </w:r>
      <w:r w:rsidR="00364A97" w:rsidRPr="00C57ACD">
        <w:rPr>
          <w:rFonts w:ascii="Arial" w:hAnsi="Arial" w:cs="Arial"/>
          <w:sz w:val="22"/>
          <w:szCs w:val="22"/>
          <w:lang w:val="es-CL" w:eastAsia="es-CL"/>
        </w:rPr>
        <w:t>aplicando</w:t>
      </w:r>
      <w:r w:rsidRPr="00C57ACD">
        <w:rPr>
          <w:rFonts w:ascii="Arial" w:hAnsi="Arial" w:cs="Arial"/>
          <w:sz w:val="22"/>
          <w:szCs w:val="22"/>
          <w:lang w:val="es-CL" w:eastAsia="es-CL"/>
        </w:rPr>
        <w:t xml:space="preserve"> la tasa que se obtiene de la</w:t>
      </w:r>
      <w:r w:rsidR="001F5985" w:rsidRPr="00C57ACD">
        <w:rPr>
          <w:rFonts w:ascii="Arial" w:hAnsi="Arial" w:cs="Arial"/>
          <w:sz w:val="22"/>
          <w:szCs w:val="22"/>
          <w:lang w:val="es-CL" w:eastAsia="es-CL"/>
        </w:rPr>
        <w:t>s</w:t>
      </w:r>
      <w:r w:rsidRPr="00C57ACD">
        <w:rPr>
          <w:rFonts w:ascii="Arial" w:hAnsi="Arial" w:cs="Arial"/>
          <w:sz w:val="22"/>
          <w:szCs w:val="22"/>
          <w:lang w:val="es-CL" w:eastAsia="es-CL"/>
        </w:rPr>
        <w:t xml:space="preserve"> escala</w:t>
      </w:r>
      <w:r w:rsidR="001F5985" w:rsidRPr="00C57ACD">
        <w:rPr>
          <w:rFonts w:ascii="Arial" w:hAnsi="Arial" w:cs="Arial"/>
          <w:sz w:val="22"/>
          <w:szCs w:val="22"/>
          <w:lang w:val="es-CL" w:eastAsia="es-CL"/>
        </w:rPr>
        <w:t>s</w:t>
      </w:r>
      <w:r w:rsidRPr="00C57ACD">
        <w:rPr>
          <w:rFonts w:ascii="Arial" w:hAnsi="Arial" w:cs="Arial"/>
          <w:sz w:val="22"/>
          <w:szCs w:val="22"/>
          <w:lang w:val="es-CL" w:eastAsia="es-CL"/>
        </w:rPr>
        <w:t xml:space="preserve"> </w:t>
      </w:r>
      <w:r w:rsidR="00141699" w:rsidRPr="00C57ACD">
        <w:rPr>
          <w:rFonts w:ascii="Arial" w:hAnsi="Arial" w:cs="Arial"/>
          <w:sz w:val="22"/>
          <w:szCs w:val="22"/>
          <w:lang w:val="es-CL" w:eastAsia="es-CL"/>
        </w:rPr>
        <w:t>a que se refieren los</w:t>
      </w:r>
      <w:r w:rsidRPr="00C57ACD">
        <w:rPr>
          <w:rFonts w:ascii="Arial" w:hAnsi="Arial" w:cs="Arial"/>
          <w:sz w:val="22"/>
          <w:szCs w:val="22"/>
          <w:lang w:val="es-CL" w:eastAsia="es-CL"/>
        </w:rPr>
        <w:t xml:space="preserve"> </w:t>
      </w:r>
      <w:r w:rsidR="00A91197" w:rsidRPr="00C57ACD">
        <w:rPr>
          <w:rFonts w:ascii="Arial" w:hAnsi="Arial" w:cs="Arial"/>
          <w:b/>
          <w:sz w:val="22"/>
          <w:szCs w:val="22"/>
          <w:lang w:val="es-CL" w:eastAsia="es-CL"/>
        </w:rPr>
        <w:t>A</w:t>
      </w:r>
      <w:r w:rsidR="002B688D" w:rsidRPr="00C57ACD">
        <w:rPr>
          <w:rFonts w:ascii="Arial" w:hAnsi="Arial" w:cs="Arial"/>
          <w:b/>
          <w:sz w:val="22"/>
          <w:szCs w:val="22"/>
          <w:lang w:val="es-CL" w:eastAsia="es-CL"/>
        </w:rPr>
        <w:t xml:space="preserve">nexos </w:t>
      </w:r>
      <w:r w:rsidR="00814EC4" w:rsidRPr="00C57ACD">
        <w:rPr>
          <w:rFonts w:ascii="Arial" w:hAnsi="Arial" w:cs="Arial"/>
          <w:b/>
          <w:sz w:val="22"/>
          <w:szCs w:val="22"/>
          <w:lang w:val="es-CL" w:eastAsia="es-CL"/>
        </w:rPr>
        <w:t xml:space="preserve">N°s </w:t>
      </w:r>
      <w:r w:rsidR="002B688D" w:rsidRPr="00C57ACD">
        <w:rPr>
          <w:rFonts w:ascii="Arial" w:hAnsi="Arial" w:cs="Arial"/>
          <w:b/>
          <w:sz w:val="22"/>
          <w:szCs w:val="22"/>
          <w:lang w:val="es-CL" w:eastAsia="es-CL"/>
        </w:rPr>
        <w:t>4 ó 5</w:t>
      </w:r>
      <w:r w:rsidR="00141699" w:rsidRPr="00C57ACD">
        <w:rPr>
          <w:rFonts w:ascii="Arial" w:hAnsi="Arial" w:cs="Arial"/>
          <w:sz w:val="22"/>
          <w:szCs w:val="22"/>
          <w:lang w:val="es-CL" w:eastAsia="es-CL"/>
        </w:rPr>
        <w:t xml:space="preserve"> de esta Circular</w:t>
      </w:r>
      <w:r w:rsidR="002B688D" w:rsidRPr="00C57ACD">
        <w:rPr>
          <w:rFonts w:ascii="Arial" w:hAnsi="Arial" w:cs="Arial"/>
          <w:sz w:val="22"/>
          <w:szCs w:val="22"/>
          <w:lang w:val="es-CL" w:eastAsia="es-CL"/>
        </w:rPr>
        <w:t>, según corresponda</w:t>
      </w:r>
      <w:r w:rsidRPr="00C57ACD">
        <w:rPr>
          <w:rFonts w:ascii="Arial" w:hAnsi="Arial" w:cs="Arial"/>
          <w:sz w:val="22"/>
          <w:szCs w:val="22"/>
          <w:lang w:val="es-CL" w:eastAsia="es-CL"/>
        </w:rPr>
        <w:t xml:space="preserve">, </w:t>
      </w:r>
      <w:r w:rsidR="00141699" w:rsidRPr="00C57ACD">
        <w:rPr>
          <w:rFonts w:ascii="Arial" w:hAnsi="Arial" w:cs="Arial"/>
          <w:sz w:val="22"/>
          <w:szCs w:val="22"/>
          <w:lang w:val="es-CL" w:eastAsia="es-CL"/>
        </w:rPr>
        <w:t xml:space="preserve">a </w:t>
      </w:r>
      <w:r w:rsidRPr="00C57ACD">
        <w:rPr>
          <w:rFonts w:ascii="Arial" w:hAnsi="Arial" w:cs="Arial"/>
          <w:sz w:val="22"/>
          <w:szCs w:val="22"/>
          <w:lang w:val="es-CL" w:eastAsia="es-CL"/>
        </w:rPr>
        <w:t xml:space="preserve">la </w:t>
      </w:r>
      <w:r w:rsidR="00141699" w:rsidRPr="00C57ACD">
        <w:rPr>
          <w:rFonts w:ascii="Arial" w:hAnsi="Arial" w:cs="Arial"/>
          <w:b/>
          <w:sz w:val="22"/>
          <w:szCs w:val="22"/>
          <w:lang w:val="es-CL" w:eastAsia="es-CL"/>
        </w:rPr>
        <w:t>RIOM</w:t>
      </w:r>
      <w:r w:rsidRPr="00C57ACD">
        <w:rPr>
          <w:rFonts w:ascii="Arial" w:hAnsi="Arial" w:cs="Arial"/>
          <w:sz w:val="22"/>
          <w:szCs w:val="22"/>
          <w:lang w:val="es-CL" w:eastAsia="es-CL"/>
        </w:rPr>
        <w:t xml:space="preserve"> anual, calculada de acuerdo al </w:t>
      </w:r>
      <w:r w:rsidR="00141699" w:rsidRPr="00C57ACD">
        <w:rPr>
          <w:rFonts w:ascii="Arial" w:hAnsi="Arial" w:cs="Arial"/>
          <w:sz w:val="22"/>
          <w:szCs w:val="22"/>
          <w:lang w:val="es-CL" w:eastAsia="es-CL"/>
        </w:rPr>
        <w:t>procedimiento descrito en el citado</w:t>
      </w:r>
      <w:r w:rsidR="00814EC4" w:rsidRPr="00C57ACD">
        <w:rPr>
          <w:rFonts w:ascii="Arial" w:hAnsi="Arial" w:cs="Arial"/>
          <w:sz w:val="22"/>
          <w:szCs w:val="22"/>
          <w:lang w:val="es-CL" w:eastAsia="es-CL"/>
        </w:rPr>
        <w:t xml:space="preserve"> </w:t>
      </w:r>
      <w:r w:rsidR="00814EC4" w:rsidRPr="00C57ACD">
        <w:rPr>
          <w:rFonts w:ascii="Arial" w:hAnsi="Arial" w:cs="Arial"/>
          <w:b/>
          <w:sz w:val="22"/>
          <w:szCs w:val="22"/>
          <w:lang w:val="es-CL" w:eastAsia="es-CL"/>
        </w:rPr>
        <w:t>A</w:t>
      </w:r>
      <w:r w:rsidR="000C78D8" w:rsidRPr="00C57ACD">
        <w:rPr>
          <w:rFonts w:ascii="Arial" w:hAnsi="Arial" w:cs="Arial"/>
          <w:b/>
          <w:sz w:val="22"/>
          <w:szCs w:val="22"/>
          <w:lang w:val="es-CL" w:eastAsia="es-CL"/>
        </w:rPr>
        <w:t xml:space="preserve">nexo </w:t>
      </w:r>
      <w:r w:rsidR="00814EC4" w:rsidRPr="00C57ACD">
        <w:rPr>
          <w:rFonts w:ascii="Arial" w:hAnsi="Arial" w:cs="Arial"/>
          <w:b/>
          <w:sz w:val="22"/>
          <w:szCs w:val="22"/>
          <w:lang w:val="es-CL" w:eastAsia="es-CL"/>
        </w:rPr>
        <w:t>N°</w:t>
      </w:r>
      <w:r w:rsidR="000C78D8" w:rsidRPr="00C57ACD">
        <w:rPr>
          <w:rFonts w:ascii="Arial" w:hAnsi="Arial" w:cs="Arial"/>
          <w:b/>
          <w:sz w:val="22"/>
          <w:szCs w:val="22"/>
          <w:lang w:val="es-CL" w:eastAsia="es-CL"/>
        </w:rPr>
        <w:t>6</w:t>
      </w:r>
      <w:r w:rsidR="00C57ACD">
        <w:rPr>
          <w:rFonts w:ascii="Arial" w:hAnsi="Arial" w:cs="Arial"/>
          <w:b/>
          <w:sz w:val="22"/>
          <w:szCs w:val="22"/>
          <w:lang w:val="es-CL" w:eastAsia="es-CL"/>
        </w:rPr>
        <w:t>.</w:t>
      </w:r>
      <w:r w:rsidRPr="00C57ACD">
        <w:rPr>
          <w:rFonts w:ascii="Arial" w:hAnsi="Arial" w:cs="Arial"/>
          <w:sz w:val="22"/>
          <w:szCs w:val="22"/>
          <w:lang w:val="es-CL" w:eastAsia="es-CL"/>
        </w:rPr>
        <w:t> </w:t>
      </w:r>
      <w:r w:rsidR="00C57ACD">
        <w:rPr>
          <w:rFonts w:ascii="Arial" w:hAnsi="Arial" w:cs="Arial"/>
          <w:sz w:val="22"/>
          <w:szCs w:val="22"/>
          <w:lang w:val="es-CL" w:eastAsia="es-CL"/>
        </w:rPr>
        <w:t xml:space="preserve">En dicha </w:t>
      </w:r>
      <w:r w:rsidR="00C57ACD" w:rsidRPr="00C57ACD">
        <w:rPr>
          <w:rFonts w:ascii="Arial" w:hAnsi="Arial" w:cs="Arial"/>
          <w:b/>
          <w:sz w:val="22"/>
          <w:szCs w:val="22"/>
          <w:lang w:val="es-CL" w:eastAsia="es-CL"/>
        </w:rPr>
        <w:t>RIOM</w:t>
      </w:r>
      <w:r w:rsidR="00C57ACD">
        <w:rPr>
          <w:rFonts w:ascii="Arial" w:hAnsi="Arial" w:cs="Arial"/>
          <w:sz w:val="22"/>
          <w:szCs w:val="22"/>
          <w:lang w:val="es-CL" w:eastAsia="es-CL"/>
        </w:rPr>
        <w:t>, se encuentra d</w:t>
      </w:r>
      <w:r w:rsidRPr="00C57ACD">
        <w:rPr>
          <w:rFonts w:ascii="Arial" w:hAnsi="Arial" w:cs="Arial"/>
          <w:sz w:val="22"/>
          <w:szCs w:val="22"/>
          <w:lang w:val="es-CL" w:eastAsia="es-CL"/>
        </w:rPr>
        <w:t xml:space="preserve">educido </w:t>
      </w:r>
      <w:r w:rsidR="00C57ACD">
        <w:rPr>
          <w:rFonts w:ascii="Arial" w:hAnsi="Arial" w:cs="Arial"/>
          <w:sz w:val="22"/>
          <w:szCs w:val="22"/>
          <w:lang w:val="es-CL" w:eastAsia="es-CL"/>
        </w:rPr>
        <w:t>e</w:t>
      </w:r>
      <w:r w:rsidRPr="00C57ACD">
        <w:rPr>
          <w:rFonts w:ascii="Arial" w:hAnsi="Arial" w:cs="Arial"/>
          <w:sz w:val="22"/>
          <w:szCs w:val="22"/>
          <w:lang w:val="es-CL" w:eastAsia="es-CL"/>
        </w:rPr>
        <w:t>l mismo</w:t>
      </w:r>
      <w:r w:rsidRPr="00C57ACD">
        <w:rPr>
          <w:rFonts w:ascii="Arial" w:hAnsi="Arial" w:cs="Arial"/>
          <w:b/>
          <w:sz w:val="22"/>
          <w:szCs w:val="22"/>
          <w:lang w:val="es-CL" w:eastAsia="es-CL"/>
        </w:rPr>
        <w:t xml:space="preserve"> </w:t>
      </w:r>
      <w:r w:rsidR="00C57ACD" w:rsidRPr="00C57ACD">
        <w:rPr>
          <w:rFonts w:ascii="Arial" w:hAnsi="Arial" w:cs="Arial"/>
          <w:b/>
          <w:sz w:val="22"/>
          <w:szCs w:val="22"/>
          <w:lang w:val="es-CL" w:eastAsia="es-CL"/>
        </w:rPr>
        <w:t>IEM</w:t>
      </w:r>
      <w:r w:rsidR="00141699" w:rsidRPr="00C57ACD">
        <w:rPr>
          <w:rFonts w:ascii="Arial" w:hAnsi="Arial" w:cs="Arial"/>
          <w:sz w:val="22"/>
          <w:szCs w:val="22"/>
          <w:lang w:val="es-CL" w:eastAsia="es-CL"/>
        </w:rPr>
        <w:t>, ello</w:t>
      </w:r>
      <w:r w:rsidRPr="00C57ACD">
        <w:rPr>
          <w:rFonts w:ascii="Arial" w:hAnsi="Arial" w:cs="Arial"/>
          <w:sz w:val="22"/>
          <w:szCs w:val="22"/>
          <w:lang w:val="es-CL" w:eastAsia="es-CL"/>
        </w:rPr>
        <w:t xml:space="preserve"> en atención a que constituye un gasto aceptado</w:t>
      </w:r>
      <w:r w:rsidR="001F5985" w:rsidRPr="00C57ACD">
        <w:rPr>
          <w:rFonts w:ascii="Arial" w:hAnsi="Arial" w:cs="Arial"/>
          <w:sz w:val="22"/>
          <w:szCs w:val="22"/>
          <w:lang w:val="es-CL" w:eastAsia="es-CL"/>
        </w:rPr>
        <w:t xml:space="preserve"> en la d</w:t>
      </w:r>
      <w:r w:rsidR="008B241A" w:rsidRPr="00C57ACD">
        <w:rPr>
          <w:rFonts w:ascii="Arial" w:hAnsi="Arial" w:cs="Arial"/>
          <w:sz w:val="22"/>
          <w:szCs w:val="22"/>
          <w:lang w:val="es-CL" w:eastAsia="es-CL"/>
        </w:rPr>
        <w:t>e</w:t>
      </w:r>
      <w:r w:rsidR="001F5985" w:rsidRPr="00C57ACD">
        <w:rPr>
          <w:rFonts w:ascii="Arial" w:hAnsi="Arial" w:cs="Arial"/>
          <w:sz w:val="22"/>
          <w:szCs w:val="22"/>
          <w:lang w:val="es-CL" w:eastAsia="es-CL"/>
        </w:rPr>
        <w:t xml:space="preserve">terminación de la </w:t>
      </w:r>
      <w:r w:rsidR="001F5985" w:rsidRPr="00C57ACD">
        <w:rPr>
          <w:rFonts w:ascii="Arial" w:hAnsi="Arial" w:cs="Arial"/>
          <w:b/>
          <w:sz w:val="22"/>
          <w:szCs w:val="22"/>
          <w:lang w:val="es-CL" w:eastAsia="es-CL"/>
        </w:rPr>
        <w:t>RLI</w:t>
      </w:r>
      <w:r w:rsidR="001F5985" w:rsidRPr="00C57ACD">
        <w:rPr>
          <w:rFonts w:ascii="Arial" w:hAnsi="Arial" w:cs="Arial"/>
          <w:sz w:val="22"/>
          <w:szCs w:val="22"/>
          <w:lang w:val="es-CL" w:eastAsia="es-CL"/>
        </w:rPr>
        <w:t>,</w:t>
      </w:r>
      <w:r w:rsidRPr="00C57ACD">
        <w:rPr>
          <w:rFonts w:ascii="Arial" w:hAnsi="Arial" w:cs="Arial"/>
          <w:sz w:val="22"/>
          <w:szCs w:val="22"/>
          <w:lang w:val="es-CL" w:eastAsia="es-CL"/>
        </w:rPr>
        <w:t xml:space="preserve"> según lo dispone el N°2</w:t>
      </w:r>
      <w:r w:rsidR="00141699" w:rsidRPr="00C57ACD">
        <w:rPr>
          <w:rFonts w:ascii="Arial" w:hAnsi="Arial" w:cs="Arial"/>
          <w:sz w:val="22"/>
          <w:szCs w:val="22"/>
          <w:lang w:val="es-CL" w:eastAsia="es-CL"/>
        </w:rPr>
        <w:t>,</w:t>
      </w:r>
      <w:r w:rsidRPr="00C57ACD">
        <w:rPr>
          <w:rFonts w:ascii="Arial" w:hAnsi="Arial" w:cs="Arial"/>
          <w:sz w:val="22"/>
          <w:szCs w:val="22"/>
          <w:lang w:val="es-CL" w:eastAsia="es-CL"/>
        </w:rPr>
        <w:t xml:space="preserve"> del artículo 31</w:t>
      </w:r>
      <w:r w:rsidR="00141699" w:rsidRPr="00C57ACD">
        <w:rPr>
          <w:rFonts w:ascii="Arial" w:hAnsi="Arial" w:cs="Arial"/>
          <w:sz w:val="22"/>
          <w:szCs w:val="22"/>
          <w:lang w:val="es-CL" w:eastAsia="es-CL"/>
        </w:rPr>
        <w:t>,</w:t>
      </w:r>
      <w:r w:rsidRPr="00C57ACD">
        <w:rPr>
          <w:rFonts w:ascii="Arial" w:hAnsi="Arial" w:cs="Arial"/>
          <w:sz w:val="22"/>
          <w:szCs w:val="22"/>
          <w:lang w:val="es-CL" w:eastAsia="es-CL"/>
        </w:rPr>
        <w:t xml:space="preserve"> de la LIR</w:t>
      </w:r>
      <w:r w:rsidR="00341E7B">
        <w:rPr>
          <w:rFonts w:ascii="Arial" w:hAnsi="Arial" w:cs="Arial"/>
          <w:sz w:val="22"/>
          <w:szCs w:val="22"/>
          <w:lang w:val="es-CL" w:eastAsia="es-CL"/>
        </w:rPr>
        <w:t>, la cual es a</w:t>
      </w:r>
      <w:r w:rsidR="00953A2A">
        <w:rPr>
          <w:rFonts w:ascii="Arial" w:hAnsi="Arial" w:cs="Arial"/>
          <w:sz w:val="22"/>
          <w:szCs w:val="22"/>
          <w:lang w:val="es-CL" w:eastAsia="es-CL"/>
        </w:rPr>
        <w:t xml:space="preserve"> su vez, base para el cálculo de la </w:t>
      </w:r>
      <w:r w:rsidR="00953A2A" w:rsidRPr="00953A2A">
        <w:rPr>
          <w:rFonts w:ascii="Arial" w:hAnsi="Arial" w:cs="Arial"/>
          <w:b/>
          <w:sz w:val="22"/>
          <w:szCs w:val="22"/>
          <w:lang w:val="es-CL" w:eastAsia="es-CL"/>
        </w:rPr>
        <w:t>RIOM</w:t>
      </w:r>
      <w:r w:rsidRPr="00C57ACD">
        <w:rPr>
          <w:rFonts w:ascii="Arial" w:hAnsi="Arial" w:cs="Arial"/>
          <w:sz w:val="22"/>
          <w:szCs w:val="22"/>
          <w:lang w:val="es-CL" w:eastAsia="es-CL"/>
        </w:rPr>
        <w:t>.</w:t>
      </w:r>
    </w:p>
    <w:p w:rsidR="00A6286C" w:rsidRPr="00252C1F" w:rsidRDefault="00A6286C" w:rsidP="00950220">
      <w:pPr>
        <w:spacing w:before="100" w:beforeAutospacing="1" w:after="100" w:afterAutospacing="1"/>
        <w:jc w:val="both"/>
        <w:rPr>
          <w:sz w:val="22"/>
          <w:szCs w:val="22"/>
          <w:lang w:val="es-CL" w:eastAsia="es-CL"/>
        </w:rPr>
      </w:pPr>
      <w:r>
        <w:rPr>
          <w:rFonts w:ascii="Arial" w:hAnsi="Arial" w:cs="Arial"/>
          <w:sz w:val="22"/>
          <w:szCs w:val="22"/>
          <w:lang w:val="es-CL" w:eastAsia="es-CL"/>
        </w:rPr>
        <w:t xml:space="preserve">En </w:t>
      </w:r>
      <w:r w:rsidR="00953A2A">
        <w:rPr>
          <w:rFonts w:ascii="Arial" w:hAnsi="Arial" w:cs="Arial"/>
          <w:sz w:val="22"/>
          <w:szCs w:val="22"/>
          <w:lang w:val="es-CL" w:eastAsia="es-CL"/>
        </w:rPr>
        <w:t xml:space="preserve">el </w:t>
      </w:r>
      <w:r w:rsidR="001F7F9C">
        <w:rPr>
          <w:rFonts w:ascii="Arial" w:hAnsi="Arial" w:cs="Arial"/>
          <w:b/>
          <w:sz w:val="22"/>
          <w:szCs w:val="22"/>
          <w:lang w:val="es-CL" w:eastAsia="es-CL"/>
        </w:rPr>
        <w:t>A</w:t>
      </w:r>
      <w:r w:rsidRPr="00953A2A">
        <w:rPr>
          <w:rFonts w:ascii="Arial" w:hAnsi="Arial" w:cs="Arial"/>
          <w:b/>
          <w:sz w:val="22"/>
          <w:szCs w:val="22"/>
          <w:lang w:val="es-CL" w:eastAsia="es-CL"/>
        </w:rPr>
        <w:t>nexo N°7</w:t>
      </w:r>
      <w:r>
        <w:rPr>
          <w:rFonts w:ascii="Arial" w:hAnsi="Arial" w:cs="Arial"/>
          <w:sz w:val="22"/>
          <w:szCs w:val="22"/>
          <w:lang w:val="es-CL" w:eastAsia="es-CL"/>
        </w:rPr>
        <w:t xml:space="preserve"> de esta Circular, se ejemplifica sobre la forma de determinar el impuesto en las situaciones indicadas en las letras </w:t>
      </w:r>
      <w:r w:rsidRPr="00953A2A">
        <w:rPr>
          <w:rFonts w:ascii="Arial" w:hAnsi="Arial" w:cs="Arial"/>
          <w:b/>
          <w:sz w:val="22"/>
          <w:szCs w:val="22"/>
          <w:lang w:val="es-CL" w:eastAsia="es-CL"/>
        </w:rPr>
        <w:t>d.</w:t>
      </w:r>
      <w:r>
        <w:rPr>
          <w:rFonts w:ascii="Arial" w:hAnsi="Arial" w:cs="Arial"/>
          <w:sz w:val="22"/>
          <w:szCs w:val="22"/>
          <w:lang w:val="es-CL" w:eastAsia="es-CL"/>
        </w:rPr>
        <w:t xml:space="preserve"> </w:t>
      </w:r>
      <w:r w:rsidR="001F7F9C">
        <w:rPr>
          <w:rFonts w:ascii="Arial" w:hAnsi="Arial" w:cs="Arial"/>
          <w:sz w:val="22"/>
          <w:szCs w:val="22"/>
          <w:lang w:val="es-CL" w:eastAsia="es-CL"/>
        </w:rPr>
        <w:t>y</w:t>
      </w:r>
      <w:r>
        <w:rPr>
          <w:rFonts w:ascii="Arial" w:hAnsi="Arial" w:cs="Arial"/>
          <w:sz w:val="22"/>
          <w:szCs w:val="22"/>
          <w:lang w:val="es-CL" w:eastAsia="es-CL"/>
        </w:rPr>
        <w:t xml:space="preserve"> </w:t>
      </w:r>
      <w:r w:rsidRPr="00953A2A">
        <w:rPr>
          <w:rFonts w:ascii="Arial" w:hAnsi="Arial" w:cs="Arial"/>
          <w:b/>
          <w:sz w:val="22"/>
          <w:szCs w:val="22"/>
          <w:lang w:val="es-CL" w:eastAsia="es-CL"/>
        </w:rPr>
        <w:t>e.</w:t>
      </w:r>
      <w:r>
        <w:rPr>
          <w:rFonts w:ascii="Arial" w:hAnsi="Arial" w:cs="Arial"/>
          <w:sz w:val="22"/>
          <w:szCs w:val="22"/>
          <w:lang w:val="es-CL" w:eastAsia="es-CL"/>
        </w:rPr>
        <w:t xml:space="preserve"> del </w:t>
      </w:r>
      <w:r w:rsidR="00953A2A">
        <w:rPr>
          <w:rFonts w:ascii="Arial" w:hAnsi="Arial" w:cs="Arial"/>
          <w:sz w:val="22"/>
          <w:szCs w:val="22"/>
          <w:lang w:val="es-CL" w:eastAsia="es-CL"/>
        </w:rPr>
        <w:t xml:space="preserve">N° </w:t>
      </w:r>
      <w:r>
        <w:rPr>
          <w:rFonts w:ascii="Arial" w:hAnsi="Arial" w:cs="Arial"/>
          <w:sz w:val="22"/>
          <w:szCs w:val="22"/>
          <w:lang w:val="es-CL" w:eastAsia="es-CL"/>
        </w:rPr>
        <w:t>(2) anterior</w:t>
      </w:r>
      <w:r w:rsidR="001F7F9C">
        <w:rPr>
          <w:rFonts w:ascii="Arial" w:hAnsi="Arial" w:cs="Arial"/>
          <w:sz w:val="22"/>
          <w:szCs w:val="22"/>
          <w:lang w:val="es-CL" w:eastAsia="es-CL"/>
        </w:rPr>
        <w:t xml:space="preserve"> (Ejemplos 1 y 2, respectivamente)</w:t>
      </w:r>
      <w:r>
        <w:rPr>
          <w:rFonts w:ascii="Arial" w:hAnsi="Arial" w:cs="Arial"/>
          <w:sz w:val="22"/>
          <w:szCs w:val="22"/>
          <w:lang w:val="es-CL" w:eastAsia="es-CL"/>
        </w:rPr>
        <w:t xml:space="preserve">. </w:t>
      </w:r>
    </w:p>
    <w:p w:rsidR="00596F98" w:rsidRPr="00252C1F" w:rsidRDefault="00596F98" w:rsidP="00596F98">
      <w:pPr>
        <w:tabs>
          <w:tab w:val="left" w:pos="-284"/>
        </w:tabs>
        <w:suppressAutoHyphens/>
        <w:ind w:left="1134" w:hanging="567"/>
        <w:jc w:val="both"/>
        <w:rPr>
          <w:rFonts w:ascii="Arial" w:hAnsi="Arial"/>
          <w:b/>
          <w:spacing w:val="-3"/>
          <w:sz w:val="22"/>
          <w:highlight w:val="yellow"/>
          <w:lang w:val="es-ES_tradnl"/>
        </w:rPr>
      </w:pPr>
    </w:p>
    <w:p w:rsidR="00953A2A" w:rsidRDefault="00953A2A" w:rsidP="000367F8">
      <w:pPr>
        <w:autoSpaceDE w:val="0"/>
        <w:autoSpaceDN w:val="0"/>
        <w:adjustRightInd w:val="0"/>
        <w:ind w:right="-142"/>
        <w:jc w:val="both"/>
        <w:rPr>
          <w:rFonts w:ascii="Arial" w:hAnsi="Arial"/>
          <w:b/>
          <w:spacing w:val="-3"/>
          <w:sz w:val="22"/>
          <w:lang w:val="es-ES_tradnl"/>
        </w:rPr>
      </w:pPr>
    </w:p>
    <w:p w:rsidR="00953A2A" w:rsidRDefault="00953A2A" w:rsidP="000367F8">
      <w:pPr>
        <w:autoSpaceDE w:val="0"/>
        <w:autoSpaceDN w:val="0"/>
        <w:adjustRightInd w:val="0"/>
        <w:ind w:right="-142"/>
        <w:jc w:val="both"/>
        <w:rPr>
          <w:rFonts w:ascii="Arial" w:hAnsi="Arial"/>
          <w:b/>
          <w:spacing w:val="-3"/>
          <w:sz w:val="22"/>
          <w:lang w:val="es-ES_tradnl"/>
        </w:rPr>
      </w:pPr>
    </w:p>
    <w:p w:rsidR="00596F98" w:rsidRPr="00742E38" w:rsidRDefault="008C21D5" w:rsidP="000367F8">
      <w:pPr>
        <w:autoSpaceDE w:val="0"/>
        <w:autoSpaceDN w:val="0"/>
        <w:adjustRightInd w:val="0"/>
        <w:ind w:right="-142"/>
        <w:jc w:val="both"/>
        <w:rPr>
          <w:rFonts w:ascii="Arial" w:hAnsi="Arial"/>
          <w:b/>
          <w:spacing w:val="-3"/>
          <w:sz w:val="22"/>
          <w:lang w:val="es-ES_tradnl"/>
        </w:rPr>
      </w:pPr>
      <w:r w:rsidRPr="00742E38">
        <w:rPr>
          <w:rFonts w:ascii="Arial" w:hAnsi="Arial"/>
          <w:b/>
          <w:spacing w:val="-3"/>
          <w:sz w:val="22"/>
          <w:lang w:val="es-ES_tradnl"/>
        </w:rPr>
        <w:t>I</w:t>
      </w:r>
      <w:r w:rsidR="00596F98" w:rsidRPr="00742E38">
        <w:rPr>
          <w:rFonts w:ascii="Arial" w:hAnsi="Arial"/>
          <w:b/>
          <w:spacing w:val="-3"/>
          <w:sz w:val="22"/>
          <w:lang w:val="es-ES_tradnl"/>
        </w:rPr>
        <w:t>II.2.-</w:t>
      </w:r>
      <w:r w:rsidR="00590AA7" w:rsidRPr="00742E38">
        <w:rPr>
          <w:rFonts w:ascii="Arial" w:hAnsi="Arial"/>
          <w:b/>
          <w:spacing w:val="-3"/>
          <w:sz w:val="22"/>
          <w:lang w:val="es-ES_tradnl"/>
        </w:rPr>
        <w:t xml:space="preserve"> </w:t>
      </w:r>
      <w:r w:rsidR="003A31AC" w:rsidRPr="00742E38">
        <w:rPr>
          <w:rFonts w:ascii="Arial" w:hAnsi="Arial"/>
          <w:b/>
          <w:spacing w:val="-3"/>
          <w:sz w:val="22"/>
          <w:lang w:val="es-ES_tradnl"/>
        </w:rPr>
        <w:t xml:space="preserve">Situaciones </w:t>
      </w:r>
      <w:r w:rsidR="000367F8" w:rsidRPr="00742E38">
        <w:rPr>
          <w:rFonts w:ascii="Arial" w:hAnsi="Arial"/>
          <w:b/>
          <w:spacing w:val="-3"/>
          <w:sz w:val="22"/>
          <w:lang w:val="es-ES_tradnl"/>
        </w:rPr>
        <w:t>reguladas por los</w:t>
      </w:r>
      <w:r w:rsidR="00480E2E" w:rsidRPr="00742E38">
        <w:rPr>
          <w:rFonts w:ascii="Arial" w:hAnsi="Arial"/>
          <w:b/>
          <w:spacing w:val="-3"/>
          <w:sz w:val="22"/>
          <w:lang w:val="es-ES_tradnl"/>
        </w:rPr>
        <w:t xml:space="preserve"> artículos </w:t>
      </w:r>
      <w:r w:rsidR="00277AF1" w:rsidRPr="00742E38">
        <w:rPr>
          <w:rFonts w:ascii="Arial" w:hAnsi="Arial"/>
          <w:b/>
          <w:spacing w:val="-3"/>
          <w:sz w:val="22"/>
          <w:lang w:val="es-ES_tradnl"/>
        </w:rPr>
        <w:t>1º a 4º t</w:t>
      </w:r>
      <w:r w:rsidR="006A425E" w:rsidRPr="00742E38">
        <w:rPr>
          <w:rFonts w:ascii="Arial" w:hAnsi="Arial"/>
          <w:b/>
          <w:spacing w:val="-3"/>
          <w:sz w:val="22"/>
          <w:lang w:val="es-ES_tradnl"/>
        </w:rPr>
        <w:t>ra</w:t>
      </w:r>
      <w:r w:rsidR="00480E2E" w:rsidRPr="00742E38">
        <w:rPr>
          <w:rFonts w:ascii="Arial" w:hAnsi="Arial"/>
          <w:b/>
          <w:spacing w:val="-3"/>
          <w:sz w:val="22"/>
          <w:lang w:val="es-ES_tradnl"/>
        </w:rPr>
        <w:t>nsi</w:t>
      </w:r>
      <w:r w:rsidR="00D71A6C" w:rsidRPr="00742E38">
        <w:rPr>
          <w:rFonts w:ascii="Arial" w:hAnsi="Arial"/>
          <w:b/>
          <w:spacing w:val="-3"/>
          <w:sz w:val="22"/>
          <w:lang w:val="es-ES_tradnl"/>
        </w:rPr>
        <w:t>t</w:t>
      </w:r>
      <w:r w:rsidR="00480E2E" w:rsidRPr="00742E38">
        <w:rPr>
          <w:rFonts w:ascii="Arial" w:hAnsi="Arial"/>
          <w:b/>
          <w:spacing w:val="-3"/>
          <w:sz w:val="22"/>
          <w:lang w:val="es-ES_tradnl"/>
        </w:rPr>
        <w:t>orios de la Ley 20.469.</w:t>
      </w:r>
    </w:p>
    <w:p w:rsidR="006A425E" w:rsidRDefault="006A425E" w:rsidP="00BA5FCD">
      <w:pPr>
        <w:tabs>
          <w:tab w:val="left" w:pos="-284"/>
        </w:tabs>
        <w:suppressAutoHyphens/>
        <w:jc w:val="both"/>
        <w:rPr>
          <w:rFonts w:ascii="Arial" w:hAnsi="Arial"/>
          <w:b/>
          <w:spacing w:val="-3"/>
          <w:sz w:val="22"/>
          <w:lang w:val="es-ES_tradnl"/>
        </w:rPr>
      </w:pPr>
    </w:p>
    <w:p w:rsidR="00315326" w:rsidRPr="00742E38" w:rsidRDefault="00315326" w:rsidP="00BA5FCD">
      <w:pPr>
        <w:tabs>
          <w:tab w:val="left" w:pos="-284"/>
        </w:tabs>
        <w:suppressAutoHyphens/>
        <w:jc w:val="both"/>
        <w:rPr>
          <w:rFonts w:ascii="Arial" w:hAnsi="Arial"/>
          <w:b/>
          <w:spacing w:val="-3"/>
          <w:sz w:val="22"/>
          <w:lang w:val="es-ES_tradnl"/>
        </w:rPr>
      </w:pPr>
    </w:p>
    <w:p w:rsidR="00596F98" w:rsidRPr="00742E38" w:rsidRDefault="00A04B2D" w:rsidP="00596F98">
      <w:pPr>
        <w:autoSpaceDE w:val="0"/>
        <w:autoSpaceDN w:val="0"/>
        <w:adjustRightInd w:val="0"/>
        <w:jc w:val="both"/>
        <w:rPr>
          <w:rFonts w:ascii="Arial" w:hAnsi="Arial" w:cs="Arial"/>
          <w:sz w:val="22"/>
          <w:szCs w:val="22"/>
          <w:lang w:val="es-CL" w:eastAsia="es-CL"/>
        </w:rPr>
      </w:pPr>
      <w:r w:rsidRPr="00742E38">
        <w:rPr>
          <w:rFonts w:ascii="Arial" w:hAnsi="Arial"/>
          <w:b/>
          <w:spacing w:val="-3"/>
          <w:sz w:val="22"/>
          <w:lang w:val="es-ES_tradnl"/>
        </w:rPr>
        <w:t>(1</w:t>
      </w:r>
      <w:r w:rsidR="005D5306" w:rsidRPr="00742E38">
        <w:rPr>
          <w:rFonts w:ascii="Arial" w:hAnsi="Arial"/>
          <w:b/>
          <w:spacing w:val="-3"/>
          <w:sz w:val="22"/>
          <w:lang w:val="es-ES_tradnl"/>
        </w:rPr>
        <w:t>.</w:t>
      </w:r>
      <w:r w:rsidRPr="00742E38">
        <w:rPr>
          <w:rFonts w:ascii="Arial" w:hAnsi="Arial"/>
          <w:b/>
          <w:spacing w:val="-3"/>
          <w:sz w:val="22"/>
          <w:lang w:val="es-ES_tradnl"/>
        </w:rPr>
        <w:t xml:space="preserve">)  </w:t>
      </w:r>
      <w:r w:rsidR="00C26648" w:rsidRPr="00742E38">
        <w:rPr>
          <w:rFonts w:ascii="Arial" w:hAnsi="Arial"/>
          <w:b/>
          <w:spacing w:val="-3"/>
          <w:sz w:val="22"/>
          <w:lang w:val="es-ES_tradnl"/>
        </w:rPr>
        <w:t>Régimen aplicable a los c</w:t>
      </w:r>
      <w:r w:rsidRPr="00742E38">
        <w:rPr>
          <w:rFonts w:ascii="Arial" w:hAnsi="Arial" w:cs="Arial"/>
          <w:b/>
          <w:spacing w:val="-3"/>
          <w:sz w:val="22"/>
          <w:szCs w:val="22"/>
          <w:lang w:val="es-ES_tradnl"/>
        </w:rPr>
        <w:t xml:space="preserve">ontribuyentes </w:t>
      </w:r>
      <w:r w:rsidRPr="00742E38">
        <w:rPr>
          <w:rFonts w:ascii="Arial" w:hAnsi="Arial" w:cs="Arial"/>
          <w:b/>
          <w:sz w:val="22"/>
          <w:szCs w:val="22"/>
          <w:lang w:val="es-CL" w:eastAsia="es-CL"/>
        </w:rPr>
        <w:t>que opt</w:t>
      </w:r>
      <w:r w:rsidR="00363B67">
        <w:rPr>
          <w:rFonts w:ascii="Arial" w:hAnsi="Arial" w:cs="Arial"/>
          <w:b/>
          <w:sz w:val="22"/>
          <w:szCs w:val="22"/>
          <w:lang w:val="es-CL" w:eastAsia="es-CL"/>
        </w:rPr>
        <w:t>en</w:t>
      </w:r>
      <w:r w:rsidRPr="00742E38">
        <w:rPr>
          <w:rFonts w:ascii="Arial" w:hAnsi="Arial" w:cs="Arial"/>
          <w:b/>
          <w:sz w:val="22"/>
          <w:szCs w:val="22"/>
          <w:lang w:val="es-CL" w:eastAsia="es-CL"/>
        </w:rPr>
        <w:t xml:space="preserve"> por la aplicación de las normas contenidas en los artículos 64 bis y 64 ter de la LIR, de acuerdo a</w:t>
      </w:r>
      <w:r w:rsidR="00C26648" w:rsidRPr="00742E38">
        <w:rPr>
          <w:rFonts w:ascii="Arial" w:hAnsi="Arial" w:cs="Arial"/>
          <w:b/>
          <w:sz w:val="22"/>
          <w:szCs w:val="22"/>
          <w:lang w:val="es-CL" w:eastAsia="es-CL"/>
        </w:rPr>
        <w:t xml:space="preserve"> </w:t>
      </w:r>
      <w:r w:rsidRPr="00742E38">
        <w:rPr>
          <w:rFonts w:ascii="Arial" w:hAnsi="Arial" w:cs="Arial"/>
          <w:b/>
          <w:sz w:val="22"/>
          <w:szCs w:val="22"/>
          <w:lang w:val="es-CL" w:eastAsia="es-CL"/>
        </w:rPr>
        <w:t>l</w:t>
      </w:r>
      <w:r w:rsidR="00C26648" w:rsidRPr="00742E38">
        <w:rPr>
          <w:rFonts w:ascii="Arial" w:hAnsi="Arial" w:cs="Arial"/>
          <w:b/>
          <w:sz w:val="22"/>
          <w:szCs w:val="22"/>
          <w:lang w:val="es-CL" w:eastAsia="es-CL"/>
        </w:rPr>
        <w:t>o</w:t>
      </w:r>
      <w:r w:rsidRPr="00742E38">
        <w:rPr>
          <w:rFonts w:ascii="Arial" w:hAnsi="Arial" w:cs="Arial"/>
          <w:b/>
          <w:sz w:val="22"/>
          <w:szCs w:val="22"/>
          <w:lang w:val="es-CL" w:eastAsia="es-CL"/>
        </w:rPr>
        <w:t xml:space="preserve"> establecido por las disposiciones permanentes y </w:t>
      </w:r>
      <w:r w:rsidR="00363B67">
        <w:rPr>
          <w:rFonts w:ascii="Arial" w:hAnsi="Arial" w:cs="Arial"/>
          <w:b/>
          <w:sz w:val="22"/>
          <w:szCs w:val="22"/>
          <w:lang w:val="es-CL" w:eastAsia="es-CL"/>
        </w:rPr>
        <w:t>por</w:t>
      </w:r>
      <w:r w:rsidRPr="00742E38">
        <w:rPr>
          <w:rFonts w:ascii="Arial" w:hAnsi="Arial" w:cs="Arial"/>
          <w:b/>
          <w:sz w:val="22"/>
          <w:szCs w:val="22"/>
          <w:lang w:val="es-CL" w:eastAsia="es-CL"/>
        </w:rPr>
        <w:t xml:space="preserve"> l</w:t>
      </w:r>
      <w:r w:rsidR="00363B67">
        <w:rPr>
          <w:rFonts w:ascii="Arial" w:hAnsi="Arial" w:cs="Arial"/>
          <w:b/>
          <w:sz w:val="22"/>
          <w:szCs w:val="22"/>
          <w:lang w:val="es-CL" w:eastAsia="es-CL"/>
        </w:rPr>
        <w:t>os</w:t>
      </w:r>
      <w:r w:rsidRPr="00742E38">
        <w:rPr>
          <w:rFonts w:ascii="Arial" w:hAnsi="Arial" w:cs="Arial"/>
          <w:b/>
          <w:sz w:val="22"/>
          <w:szCs w:val="22"/>
          <w:lang w:val="es-CL" w:eastAsia="es-CL"/>
        </w:rPr>
        <w:t xml:space="preserve"> artículo</w:t>
      </w:r>
      <w:r w:rsidR="00363B67">
        <w:rPr>
          <w:rFonts w:ascii="Arial" w:hAnsi="Arial" w:cs="Arial"/>
          <w:b/>
          <w:sz w:val="22"/>
          <w:szCs w:val="22"/>
          <w:lang w:val="es-CL" w:eastAsia="es-CL"/>
        </w:rPr>
        <w:t>s 1° y</w:t>
      </w:r>
      <w:r w:rsidRPr="00742E38">
        <w:rPr>
          <w:rFonts w:ascii="Arial" w:hAnsi="Arial" w:cs="Arial"/>
          <w:b/>
          <w:sz w:val="22"/>
          <w:szCs w:val="22"/>
          <w:lang w:val="es-CL" w:eastAsia="es-CL"/>
        </w:rPr>
        <w:t xml:space="preserve"> 2° transitorio</w:t>
      </w:r>
      <w:r w:rsidR="00363B67">
        <w:rPr>
          <w:rFonts w:ascii="Arial" w:hAnsi="Arial" w:cs="Arial"/>
          <w:b/>
          <w:sz w:val="22"/>
          <w:szCs w:val="22"/>
          <w:lang w:val="es-CL" w:eastAsia="es-CL"/>
        </w:rPr>
        <w:t>s</w:t>
      </w:r>
      <w:r w:rsidRPr="00742E38">
        <w:rPr>
          <w:rFonts w:ascii="Arial" w:hAnsi="Arial" w:cs="Arial"/>
          <w:b/>
          <w:sz w:val="22"/>
          <w:szCs w:val="22"/>
          <w:lang w:val="es-CL" w:eastAsia="es-CL"/>
        </w:rPr>
        <w:t xml:space="preserve"> de la Ley 20.469.</w:t>
      </w:r>
    </w:p>
    <w:p w:rsidR="00252C1F" w:rsidRDefault="00252C1F" w:rsidP="00C8648D">
      <w:pPr>
        <w:autoSpaceDE w:val="0"/>
        <w:autoSpaceDN w:val="0"/>
        <w:adjustRightInd w:val="0"/>
        <w:jc w:val="both"/>
        <w:rPr>
          <w:rFonts w:ascii="Arial" w:hAnsi="Arial" w:cs="Arial"/>
          <w:b/>
          <w:sz w:val="22"/>
          <w:szCs w:val="22"/>
          <w:lang w:val="es-CL" w:eastAsia="es-CL"/>
        </w:rPr>
      </w:pPr>
    </w:p>
    <w:p w:rsidR="00315326" w:rsidRPr="00742E38" w:rsidRDefault="00315326" w:rsidP="00C8648D">
      <w:pPr>
        <w:autoSpaceDE w:val="0"/>
        <w:autoSpaceDN w:val="0"/>
        <w:adjustRightInd w:val="0"/>
        <w:jc w:val="both"/>
        <w:rPr>
          <w:rFonts w:ascii="Arial" w:hAnsi="Arial" w:cs="Arial"/>
          <w:b/>
          <w:sz w:val="22"/>
          <w:szCs w:val="22"/>
          <w:lang w:val="es-CL" w:eastAsia="es-CL"/>
        </w:rPr>
      </w:pPr>
    </w:p>
    <w:p w:rsidR="00C8648D" w:rsidRPr="00742E38" w:rsidRDefault="00C8648D" w:rsidP="00C8648D">
      <w:pPr>
        <w:autoSpaceDE w:val="0"/>
        <w:autoSpaceDN w:val="0"/>
        <w:adjustRightInd w:val="0"/>
        <w:jc w:val="both"/>
        <w:rPr>
          <w:rFonts w:ascii="Arial" w:hAnsi="Arial" w:cs="Arial"/>
          <w:b/>
          <w:sz w:val="22"/>
          <w:szCs w:val="22"/>
          <w:lang w:val="es-CL" w:eastAsia="es-CL"/>
        </w:rPr>
      </w:pPr>
      <w:r w:rsidRPr="00742E38">
        <w:rPr>
          <w:rFonts w:ascii="Arial" w:hAnsi="Arial" w:cs="Arial"/>
          <w:b/>
          <w:sz w:val="22"/>
          <w:szCs w:val="22"/>
          <w:lang w:val="es-CL" w:eastAsia="es-CL"/>
        </w:rPr>
        <w:t>(1.1</w:t>
      </w:r>
      <w:r w:rsidR="005D5306" w:rsidRPr="00742E38">
        <w:rPr>
          <w:rFonts w:ascii="Arial" w:hAnsi="Arial" w:cs="Arial"/>
          <w:b/>
          <w:sz w:val="22"/>
          <w:szCs w:val="22"/>
          <w:lang w:val="es-CL" w:eastAsia="es-CL"/>
        </w:rPr>
        <w:t>.</w:t>
      </w:r>
      <w:r w:rsidRPr="00742E38">
        <w:rPr>
          <w:rFonts w:ascii="Arial" w:hAnsi="Arial" w:cs="Arial"/>
          <w:b/>
          <w:sz w:val="22"/>
          <w:szCs w:val="22"/>
          <w:lang w:val="es-CL" w:eastAsia="es-CL"/>
        </w:rPr>
        <w:t xml:space="preserve">) Contribuyentes que pueden </w:t>
      </w:r>
      <w:r w:rsidR="004201A3">
        <w:rPr>
          <w:rFonts w:ascii="Arial" w:hAnsi="Arial" w:cs="Arial"/>
          <w:b/>
          <w:sz w:val="22"/>
          <w:szCs w:val="22"/>
          <w:lang w:val="es-CL" w:eastAsia="es-CL"/>
        </w:rPr>
        <w:t>ejercer esta</w:t>
      </w:r>
      <w:r w:rsidR="00C26648" w:rsidRPr="00742E38">
        <w:rPr>
          <w:rFonts w:ascii="Arial" w:hAnsi="Arial" w:cs="Arial"/>
          <w:b/>
          <w:sz w:val="22"/>
          <w:szCs w:val="22"/>
          <w:lang w:val="es-CL" w:eastAsia="es-CL"/>
        </w:rPr>
        <w:t xml:space="preserve"> opción</w:t>
      </w:r>
      <w:r w:rsidRPr="00742E38">
        <w:rPr>
          <w:rFonts w:ascii="Arial" w:hAnsi="Arial" w:cs="Arial"/>
          <w:b/>
          <w:sz w:val="22"/>
          <w:szCs w:val="22"/>
          <w:lang w:val="es-CL" w:eastAsia="es-CL"/>
        </w:rPr>
        <w:t>.</w:t>
      </w:r>
    </w:p>
    <w:p w:rsidR="00C8648D" w:rsidRPr="00742E38" w:rsidRDefault="00C8648D" w:rsidP="00C8648D">
      <w:pPr>
        <w:autoSpaceDE w:val="0"/>
        <w:autoSpaceDN w:val="0"/>
        <w:adjustRightInd w:val="0"/>
        <w:jc w:val="both"/>
        <w:rPr>
          <w:rFonts w:ascii="Arial" w:hAnsi="Arial" w:cs="Arial"/>
          <w:sz w:val="22"/>
          <w:szCs w:val="22"/>
          <w:u w:val="single"/>
          <w:lang w:val="es-CL" w:eastAsia="es-CL"/>
        </w:rPr>
      </w:pPr>
    </w:p>
    <w:p w:rsidR="00596F98" w:rsidRPr="00252C1F" w:rsidRDefault="00596F98" w:rsidP="00C8648D">
      <w:pPr>
        <w:autoSpaceDE w:val="0"/>
        <w:autoSpaceDN w:val="0"/>
        <w:adjustRightInd w:val="0"/>
        <w:ind w:right="-142"/>
        <w:jc w:val="both"/>
        <w:rPr>
          <w:rFonts w:ascii="Arial" w:hAnsi="Arial" w:cs="Arial"/>
          <w:sz w:val="22"/>
          <w:szCs w:val="22"/>
          <w:lang w:val="es-CL" w:eastAsia="es-CL"/>
        </w:rPr>
      </w:pPr>
      <w:r w:rsidRPr="00742E38">
        <w:rPr>
          <w:rFonts w:ascii="Arial" w:hAnsi="Arial" w:cs="Arial"/>
          <w:sz w:val="22"/>
          <w:szCs w:val="22"/>
          <w:lang w:val="es-CL" w:eastAsia="es-CL"/>
        </w:rPr>
        <w:t>Conforme lo dispone el artículo 1° transitorio de la Ley 20.469, l</w:t>
      </w:r>
      <w:r w:rsidR="00D531E6" w:rsidRPr="00742E38">
        <w:rPr>
          <w:rFonts w:ascii="Arial" w:hAnsi="Arial" w:cs="Arial"/>
          <w:sz w:val="22"/>
          <w:szCs w:val="22"/>
          <w:lang w:val="es-CL" w:eastAsia="es-CL"/>
        </w:rPr>
        <w:t xml:space="preserve">os </w:t>
      </w:r>
      <w:r w:rsidR="00BA2C95" w:rsidRPr="00742E38">
        <w:rPr>
          <w:rFonts w:ascii="Arial" w:hAnsi="Arial" w:cs="Arial"/>
          <w:sz w:val="22"/>
          <w:szCs w:val="22"/>
          <w:lang w:val="es-CL" w:eastAsia="es-CL"/>
        </w:rPr>
        <w:t xml:space="preserve">siguientes </w:t>
      </w:r>
      <w:r w:rsidR="00D531E6" w:rsidRPr="00742E38">
        <w:rPr>
          <w:rFonts w:ascii="Arial" w:hAnsi="Arial" w:cs="Arial"/>
          <w:sz w:val="22"/>
          <w:szCs w:val="22"/>
          <w:lang w:val="es-CL" w:eastAsia="es-CL"/>
        </w:rPr>
        <w:t>contribuyentes</w:t>
      </w:r>
      <w:r w:rsidR="006A425E" w:rsidRPr="00742E38">
        <w:rPr>
          <w:rFonts w:ascii="Arial" w:hAnsi="Arial" w:cs="Arial"/>
          <w:sz w:val="22"/>
          <w:szCs w:val="22"/>
          <w:lang w:val="es-CL" w:eastAsia="es-CL"/>
        </w:rPr>
        <w:t>, y bajo las condiciones que se expresa</w:t>
      </w:r>
      <w:r w:rsidR="00A04B2D" w:rsidRPr="00742E38">
        <w:rPr>
          <w:rFonts w:ascii="Arial" w:hAnsi="Arial" w:cs="Arial"/>
          <w:sz w:val="22"/>
          <w:szCs w:val="22"/>
          <w:lang w:val="es-CL" w:eastAsia="es-CL"/>
        </w:rPr>
        <w:t>n</w:t>
      </w:r>
      <w:r w:rsidRPr="00742E38">
        <w:rPr>
          <w:rFonts w:ascii="Arial" w:hAnsi="Arial" w:cs="Arial"/>
          <w:sz w:val="22"/>
          <w:szCs w:val="22"/>
          <w:lang w:val="es-CL" w:eastAsia="es-CL"/>
        </w:rPr>
        <w:t xml:space="preserve"> a continuación</w:t>
      </w:r>
      <w:r w:rsidR="006A425E" w:rsidRPr="00252C1F">
        <w:rPr>
          <w:rFonts w:ascii="Arial" w:hAnsi="Arial" w:cs="Arial"/>
          <w:sz w:val="22"/>
          <w:szCs w:val="22"/>
          <w:lang w:val="es-CL" w:eastAsia="es-CL"/>
        </w:rPr>
        <w:t>,</w:t>
      </w:r>
      <w:r w:rsidRPr="00252C1F">
        <w:rPr>
          <w:rFonts w:ascii="Arial" w:hAnsi="Arial" w:cs="Arial"/>
          <w:sz w:val="22"/>
          <w:szCs w:val="22"/>
          <w:lang w:val="es-CL" w:eastAsia="es-CL"/>
        </w:rPr>
        <w:t xml:space="preserve"> pueden optar por acogerse a las normas permanentes establecidas en los artículos 64 bis y 64 ter de </w:t>
      </w:r>
      <w:smartTag w:uri="urn:schemas-microsoft-com:office:smarttags" w:element="PersonName">
        <w:smartTagPr>
          <w:attr w:name="ProductID" w:val="la LIR"/>
        </w:smartTagPr>
        <w:r w:rsidRPr="00252C1F">
          <w:rPr>
            <w:rFonts w:ascii="Arial" w:hAnsi="Arial" w:cs="Arial"/>
            <w:sz w:val="22"/>
            <w:szCs w:val="22"/>
            <w:lang w:val="es-CL" w:eastAsia="es-CL"/>
          </w:rPr>
          <w:t xml:space="preserve">la </w:t>
        </w:r>
        <w:r w:rsidRPr="00AB6DB0">
          <w:rPr>
            <w:rFonts w:ascii="Arial" w:hAnsi="Arial" w:cs="Arial"/>
            <w:b/>
            <w:sz w:val="22"/>
            <w:szCs w:val="22"/>
            <w:lang w:val="es-CL" w:eastAsia="es-CL"/>
          </w:rPr>
          <w:t>LIR</w:t>
        </w:r>
      </w:smartTag>
      <w:r w:rsidR="00475123" w:rsidRPr="00252C1F">
        <w:rPr>
          <w:rFonts w:ascii="Arial" w:hAnsi="Arial" w:cs="Arial"/>
          <w:sz w:val="22"/>
          <w:szCs w:val="22"/>
          <w:lang w:val="es-CL" w:eastAsia="es-CL"/>
        </w:rPr>
        <w:t>, según texto fijado por los artículos 1º y 2º</w:t>
      </w:r>
      <w:r w:rsidR="009A4F30">
        <w:rPr>
          <w:rFonts w:ascii="Arial" w:hAnsi="Arial" w:cs="Arial"/>
          <w:sz w:val="22"/>
          <w:szCs w:val="22"/>
          <w:lang w:val="es-CL" w:eastAsia="es-CL"/>
        </w:rPr>
        <w:t>;</w:t>
      </w:r>
      <w:r w:rsidR="00A04B2D" w:rsidRPr="00252C1F">
        <w:rPr>
          <w:rFonts w:ascii="Arial" w:hAnsi="Arial" w:cs="Arial"/>
          <w:sz w:val="22"/>
          <w:szCs w:val="22"/>
          <w:lang w:val="es-CL" w:eastAsia="es-CL"/>
        </w:rPr>
        <w:t xml:space="preserve"> y al artículo 2° transitorio, todos</w:t>
      </w:r>
      <w:r w:rsidR="00475123" w:rsidRPr="00252C1F">
        <w:rPr>
          <w:rFonts w:ascii="Arial" w:hAnsi="Arial" w:cs="Arial"/>
          <w:sz w:val="22"/>
          <w:szCs w:val="22"/>
          <w:lang w:val="es-CL" w:eastAsia="es-CL"/>
        </w:rPr>
        <w:t xml:space="preserve"> de </w:t>
      </w:r>
      <w:smartTag w:uri="urn:schemas-microsoft-com:office:smarttags" w:element="PersonName">
        <w:smartTagPr>
          <w:attr w:name="ProductID" w:val="la Ley"/>
        </w:smartTagPr>
        <w:r w:rsidR="00475123" w:rsidRPr="00252C1F">
          <w:rPr>
            <w:rFonts w:ascii="Arial" w:hAnsi="Arial" w:cs="Arial"/>
            <w:sz w:val="22"/>
            <w:szCs w:val="22"/>
            <w:lang w:val="es-CL" w:eastAsia="es-CL"/>
          </w:rPr>
          <w:t>la Ley</w:t>
        </w:r>
      </w:smartTag>
      <w:r w:rsidR="00475123" w:rsidRPr="00252C1F">
        <w:rPr>
          <w:rFonts w:ascii="Arial" w:hAnsi="Arial" w:cs="Arial"/>
          <w:sz w:val="22"/>
          <w:szCs w:val="22"/>
          <w:lang w:val="es-CL" w:eastAsia="es-CL"/>
        </w:rPr>
        <w:t xml:space="preserve"> 20.469</w:t>
      </w:r>
      <w:r w:rsidR="00C8648D" w:rsidRPr="00252C1F">
        <w:rPr>
          <w:rFonts w:ascii="Arial" w:hAnsi="Arial" w:cs="Arial"/>
          <w:sz w:val="22"/>
          <w:szCs w:val="22"/>
          <w:lang w:val="es-CL" w:eastAsia="es-CL"/>
        </w:rPr>
        <w:t>:</w:t>
      </w:r>
    </w:p>
    <w:p w:rsidR="00596F98" w:rsidRPr="00252C1F" w:rsidRDefault="00596F98" w:rsidP="00596F98">
      <w:pPr>
        <w:autoSpaceDE w:val="0"/>
        <w:autoSpaceDN w:val="0"/>
        <w:adjustRightInd w:val="0"/>
        <w:jc w:val="both"/>
        <w:rPr>
          <w:rFonts w:ascii="Arial" w:hAnsi="Arial" w:cs="Arial"/>
          <w:sz w:val="22"/>
          <w:szCs w:val="22"/>
          <w:lang w:val="es-CL" w:eastAsia="es-CL"/>
        </w:rPr>
      </w:pPr>
    </w:p>
    <w:p w:rsidR="00596F98" w:rsidRPr="00252C1F" w:rsidRDefault="00224D13" w:rsidP="00CF6808">
      <w:pPr>
        <w:numPr>
          <w:ilvl w:val="0"/>
          <w:numId w:val="32"/>
        </w:numPr>
        <w:autoSpaceDE w:val="0"/>
        <w:autoSpaceDN w:val="0"/>
        <w:adjustRightInd w:val="0"/>
        <w:ind w:left="0" w:right="-142" w:firstLine="360"/>
        <w:jc w:val="both"/>
        <w:rPr>
          <w:rFonts w:ascii="Arial" w:hAnsi="Arial" w:cs="Arial"/>
          <w:sz w:val="22"/>
          <w:szCs w:val="22"/>
          <w:lang w:val="es-CL" w:eastAsia="es-CL"/>
        </w:rPr>
      </w:pPr>
      <w:r>
        <w:rPr>
          <w:rFonts w:ascii="Arial" w:hAnsi="Arial" w:cs="Arial"/>
          <w:sz w:val="22"/>
          <w:szCs w:val="22"/>
          <w:lang w:val="es-CL" w:eastAsia="es-CL"/>
        </w:rPr>
        <w:t>I</w:t>
      </w:r>
      <w:r w:rsidR="00596F98" w:rsidRPr="00252C1F">
        <w:rPr>
          <w:rFonts w:ascii="Arial" w:hAnsi="Arial" w:cs="Arial"/>
          <w:sz w:val="22"/>
          <w:szCs w:val="22"/>
          <w:lang w:val="es-CL" w:eastAsia="es-CL"/>
        </w:rPr>
        <w:t>nversionistas extranjeros y empresas receptoras de sus aportes</w:t>
      </w:r>
      <w:r>
        <w:rPr>
          <w:rFonts w:ascii="Arial" w:hAnsi="Arial" w:cs="Arial"/>
          <w:sz w:val="22"/>
          <w:szCs w:val="22"/>
          <w:lang w:val="es-CL" w:eastAsia="es-CL"/>
        </w:rPr>
        <w:t>,</w:t>
      </w:r>
      <w:r w:rsidR="00596F98" w:rsidRPr="00252C1F">
        <w:rPr>
          <w:rFonts w:ascii="Arial" w:hAnsi="Arial" w:cs="Arial"/>
          <w:sz w:val="22"/>
          <w:szCs w:val="22"/>
          <w:lang w:val="es-CL" w:eastAsia="es-CL"/>
        </w:rPr>
        <w:t xml:space="preserve"> que con anterioridad a la entrada en vigencia de </w:t>
      </w:r>
      <w:r w:rsidR="007C558D" w:rsidRPr="00252C1F">
        <w:rPr>
          <w:rFonts w:ascii="Arial" w:hAnsi="Arial" w:cs="Arial"/>
          <w:sz w:val="22"/>
          <w:szCs w:val="22"/>
          <w:lang w:val="es-CL" w:eastAsia="es-CL"/>
        </w:rPr>
        <w:t>la</w:t>
      </w:r>
      <w:r w:rsidR="00596F98" w:rsidRPr="00252C1F">
        <w:rPr>
          <w:rFonts w:ascii="Arial" w:hAnsi="Arial" w:cs="Arial"/>
          <w:sz w:val="22"/>
          <w:szCs w:val="22"/>
          <w:lang w:val="es-CL" w:eastAsia="es-CL"/>
        </w:rPr>
        <w:t xml:space="preserve"> </w:t>
      </w:r>
      <w:r w:rsidR="007C558D" w:rsidRPr="00252C1F">
        <w:rPr>
          <w:rFonts w:ascii="Arial" w:hAnsi="Arial" w:cs="Arial"/>
          <w:sz w:val="22"/>
          <w:szCs w:val="22"/>
          <w:lang w:val="es-CL" w:eastAsia="es-CL"/>
        </w:rPr>
        <w:t>L</w:t>
      </w:r>
      <w:r w:rsidR="00596F98" w:rsidRPr="00252C1F">
        <w:rPr>
          <w:rFonts w:ascii="Arial" w:hAnsi="Arial" w:cs="Arial"/>
          <w:sz w:val="22"/>
          <w:szCs w:val="22"/>
          <w:lang w:val="es-CL" w:eastAsia="es-CL"/>
        </w:rPr>
        <w:t>ey</w:t>
      </w:r>
      <w:r w:rsidR="007C558D" w:rsidRPr="00252C1F">
        <w:rPr>
          <w:rFonts w:ascii="Arial" w:hAnsi="Arial" w:cs="Arial"/>
          <w:sz w:val="22"/>
          <w:szCs w:val="22"/>
          <w:lang w:val="es-CL" w:eastAsia="es-CL"/>
        </w:rPr>
        <w:t xml:space="preserve"> 20.469</w:t>
      </w:r>
      <w:r w:rsidR="00742E38">
        <w:rPr>
          <w:rFonts w:ascii="Arial" w:hAnsi="Arial" w:cs="Arial"/>
          <w:sz w:val="22"/>
          <w:szCs w:val="22"/>
          <w:lang w:val="es-CL" w:eastAsia="es-CL"/>
        </w:rPr>
        <w:t>,</w:t>
      </w:r>
      <w:r w:rsidR="00596F98" w:rsidRPr="00252C1F">
        <w:rPr>
          <w:rFonts w:ascii="Arial" w:hAnsi="Arial" w:cs="Arial"/>
          <w:sz w:val="22"/>
          <w:szCs w:val="22"/>
          <w:lang w:val="es-CL" w:eastAsia="es-CL"/>
        </w:rPr>
        <w:t xml:space="preserve"> mantengan vigente un contrato de inversión extranjera suscrito con el Estado de Chile, conforme al artículo 11 ter del </w:t>
      </w:r>
      <w:r w:rsidR="00BF74AD" w:rsidRPr="00252C1F">
        <w:rPr>
          <w:rFonts w:ascii="Arial" w:hAnsi="Arial" w:cs="Arial"/>
          <w:sz w:val="22"/>
          <w:szCs w:val="22"/>
          <w:lang w:val="es-CL" w:eastAsia="es-CL"/>
        </w:rPr>
        <w:t>DL</w:t>
      </w:r>
      <w:r w:rsidR="00596F98" w:rsidRPr="00252C1F">
        <w:rPr>
          <w:rFonts w:ascii="Arial" w:hAnsi="Arial" w:cs="Arial"/>
          <w:sz w:val="22"/>
          <w:szCs w:val="22"/>
          <w:lang w:val="es-CL" w:eastAsia="es-CL"/>
        </w:rPr>
        <w:t xml:space="preserve"> 600, de 1974.</w:t>
      </w:r>
    </w:p>
    <w:p w:rsidR="00596F98" w:rsidRPr="00252C1F" w:rsidRDefault="00596F98" w:rsidP="00596F98">
      <w:pPr>
        <w:autoSpaceDE w:val="0"/>
        <w:autoSpaceDN w:val="0"/>
        <w:adjustRightInd w:val="0"/>
        <w:ind w:right="-142"/>
        <w:jc w:val="both"/>
        <w:rPr>
          <w:rFonts w:ascii="Arial" w:hAnsi="Arial" w:cs="Arial"/>
          <w:sz w:val="22"/>
          <w:szCs w:val="22"/>
          <w:lang w:val="es-CL" w:eastAsia="es-CL"/>
        </w:rPr>
      </w:pPr>
    </w:p>
    <w:p w:rsidR="00596F98" w:rsidRPr="00252C1F" w:rsidRDefault="00596F98" w:rsidP="00596F98">
      <w:pPr>
        <w:autoSpaceDE w:val="0"/>
        <w:autoSpaceDN w:val="0"/>
        <w:adjustRightInd w:val="0"/>
        <w:ind w:right="-142"/>
        <w:jc w:val="both"/>
        <w:rPr>
          <w:rFonts w:ascii="Arial" w:hAnsi="Arial" w:cs="Arial"/>
          <w:sz w:val="22"/>
          <w:szCs w:val="22"/>
          <w:lang w:val="es-CL" w:eastAsia="es-CL"/>
        </w:rPr>
      </w:pPr>
      <w:r w:rsidRPr="00252C1F">
        <w:rPr>
          <w:rFonts w:ascii="Arial" w:hAnsi="Arial" w:cs="Arial"/>
          <w:sz w:val="22"/>
          <w:szCs w:val="22"/>
          <w:lang w:val="es-CL" w:eastAsia="es-CL"/>
        </w:rPr>
        <w:t>El citado artículo 11 ter, fue incorporado al DL 600 por la Ley 20.026, y se aplica a inversiones de monto igual o superior a US$50.000.000</w:t>
      </w:r>
      <w:r w:rsidR="009408CF">
        <w:rPr>
          <w:rFonts w:ascii="Arial" w:hAnsi="Arial" w:cs="Arial"/>
          <w:sz w:val="22"/>
          <w:szCs w:val="22"/>
          <w:lang w:val="es-CL" w:eastAsia="es-CL"/>
        </w:rPr>
        <w:t xml:space="preserve"> (</w:t>
      </w:r>
      <w:r w:rsidRPr="00252C1F">
        <w:rPr>
          <w:rFonts w:ascii="Arial" w:hAnsi="Arial" w:cs="Arial"/>
          <w:sz w:val="22"/>
          <w:szCs w:val="22"/>
          <w:lang w:val="es-CL" w:eastAsia="es-CL"/>
        </w:rPr>
        <w:t>moneda de los Estados Unidos de América</w:t>
      </w:r>
      <w:r w:rsidR="009408CF">
        <w:rPr>
          <w:rFonts w:ascii="Arial" w:hAnsi="Arial" w:cs="Arial"/>
          <w:sz w:val="22"/>
          <w:szCs w:val="22"/>
          <w:lang w:val="es-CL" w:eastAsia="es-CL"/>
        </w:rPr>
        <w:t>)</w:t>
      </w:r>
      <w:r w:rsidRPr="00252C1F">
        <w:rPr>
          <w:rFonts w:ascii="Arial" w:hAnsi="Arial" w:cs="Arial"/>
          <w:sz w:val="22"/>
          <w:szCs w:val="22"/>
          <w:lang w:val="es-CL" w:eastAsia="es-CL"/>
        </w:rPr>
        <w:t xml:space="preserve"> o su equivalente en otras monedas extranjeras, y que tengan por objeto el desarrollo de proyectos mineros, otorgándose a los respectivos inversionistas extranjeros respecto de dichos proyectos, </w:t>
      </w:r>
      <w:r w:rsidR="00837985" w:rsidRPr="00252C1F">
        <w:rPr>
          <w:rFonts w:ascii="Arial" w:hAnsi="Arial" w:cs="Arial"/>
          <w:sz w:val="22"/>
          <w:szCs w:val="22"/>
          <w:lang w:val="es-CL" w:eastAsia="es-CL"/>
        </w:rPr>
        <w:t xml:space="preserve">diversos derechos, entre los que destaca </w:t>
      </w:r>
      <w:r w:rsidR="00804683" w:rsidRPr="00252C1F">
        <w:rPr>
          <w:rFonts w:ascii="Arial" w:hAnsi="Arial" w:cs="Arial"/>
          <w:sz w:val="22"/>
          <w:szCs w:val="22"/>
          <w:lang w:val="es-CL" w:eastAsia="es-CL"/>
        </w:rPr>
        <w:t xml:space="preserve">para los efectos de lo instruido en la presente Circular, </w:t>
      </w:r>
      <w:r w:rsidR="00837985" w:rsidRPr="00252C1F">
        <w:rPr>
          <w:rFonts w:ascii="Arial" w:hAnsi="Arial" w:cs="Arial"/>
          <w:sz w:val="22"/>
          <w:szCs w:val="22"/>
          <w:lang w:val="es-CL" w:eastAsia="es-CL"/>
        </w:rPr>
        <w:t>el contemplado en su N°1, consiste</w:t>
      </w:r>
      <w:r w:rsidR="009408CF">
        <w:rPr>
          <w:rFonts w:ascii="Arial" w:hAnsi="Arial" w:cs="Arial"/>
          <w:sz w:val="22"/>
          <w:szCs w:val="22"/>
          <w:lang w:val="es-CL" w:eastAsia="es-CL"/>
        </w:rPr>
        <w:t>nte</w:t>
      </w:r>
      <w:r w:rsidR="00837985" w:rsidRPr="00252C1F">
        <w:rPr>
          <w:rFonts w:ascii="Arial" w:hAnsi="Arial" w:cs="Arial"/>
          <w:sz w:val="22"/>
          <w:szCs w:val="22"/>
          <w:lang w:val="es-CL" w:eastAsia="es-CL"/>
        </w:rPr>
        <w:t xml:space="preserve"> en</w:t>
      </w:r>
      <w:r w:rsidRPr="00252C1F">
        <w:rPr>
          <w:rFonts w:ascii="Arial" w:hAnsi="Arial" w:cs="Arial"/>
          <w:sz w:val="22"/>
          <w:szCs w:val="22"/>
          <w:lang w:val="es-CL" w:eastAsia="es-CL"/>
        </w:rPr>
        <w:t xml:space="preserve"> mantener invariables las normas legales vigentes a la fecha de suscripción del respectivo contrato en lo relativo al </w:t>
      </w:r>
      <w:r w:rsidR="00804683" w:rsidRPr="00797998">
        <w:rPr>
          <w:rFonts w:ascii="Arial" w:hAnsi="Arial" w:cs="Arial"/>
          <w:b/>
          <w:sz w:val="22"/>
          <w:szCs w:val="22"/>
          <w:lang w:val="es-CL" w:eastAsia="es-CL"/>
        </w:rPr>
        <w:t>IEM</w:t>
      </w:r>
      <w:r w:rsidRPr="00252C1F">
        <w:rPr>
          <w:rFonts w:ascii="Arial" w:hAnsi="Arial" w:cs="Arial"/>
          <w:sz w:val="22"/>
          <w:szCs w:val="22"/>
          <w:lang w:val="es-CL" w:eastAsia="es-CL"/>
        </w:rPr>
        <w:t xml:space="preserve"> de que </w:t>
      </w:r>
      <w:r w:rsidR="005A507E" w:rsidRPr="00252C1F">
        <w:rPr>
          <w:rFonts w:ascii="Arial" w:hAnsi="Arial" w:cs="Arial"/>
          <w:sz w:val="22"/>
          <w:szCs w:val="22"/>
          <w:lang w:val="es-CL" w:eastAsia="es-CL"/>
        </w:rPr>
        <w:t xml:space="preserve">actualmente </w:t>
      </w:r>
      <w:r w:rsidRPr="00252C1F">
        <w:rPr>
          <w:rFonts w:ascii="Arial" w:hAnsi="Arial" w:cs="Arial"/>
          <w:sz w:val="22"/>
          <w:szCs w:val="22"/>
          <w:lang w:val="es-CL" w:eastAsia="es-CL"/>
        </w:rPr>
        <w:t>trata</w:t>
      </w:r>
      <w:r w:rsidR="00837985" w:rsidRPr="00252C1F">
        <w:rPr>
          <w:rFonts w:ascii="Arial" w:hAnsi="Arial" w:cs="Arial"/>
          <w:sz w:val="22"/>
          <w:szCs w:val="22"/>
          <w:lang w:val="es-CL" w:eastAsia="es-CL"/>
        </w:rPr>
        <w:t>n</w:t>
      </w:r>
      <w:r w:rsidRPr="00252C1F">
        <w:rPr>
          <w:rFonts w:ascii="Arial" w:hAnsi="Arial" w:cs="Arial"/>
          <w:sz w:val="22"/>
          <w:szCs w:val="22"/>
          <w:lang w:val="es-CL" w:eastAsia="es-CL"/>
        </w:rPr>
        <w:t xml:space="preserve"> </w:t>
      </w:r>
      <w:r w:rsidR="00837985" w:rsidRPr="00252C1F">
        <w:rPr>
          <w:rFonts w:ascii="Arial" w:hAnsi="Arial" w:cs="Arial"/>
          <w:sz w:val="22"/>
          <w:szCs w:val="22"/>
          <w:lang w:val="es-CL" w:eastAsia="es-CL"/>
        </w:rPr>
        <w:t xml:space="preserve">los </w:t>
      </w:r>
      <w:r w:rsidRPr="00252C1F">
        <w:rPr>
          <w:rFonts w:ascii="Arial" w:hAnsi="Arial" w:cs="Arial"/>
          <w:sz w:val="22"/>
          <w:szCs w:val="22"/>
          <w:lang w:val="es-CL" w:eastAsia="es-CL"/>
        </w:rPr>
        <w:t>artículo</w:t>
      </w:r>
      <w:r w:rsidR="00837985" w:rsidRPr="00252C1F">
        <w:rPr>
          <w:rFonts w:ascii="Arial" w:hAnsi="Arial" w:cs="Arial"/>
          <w:sz w:val="22"/>
          <w:szCs w:val="22"/>
          <w:lang w:val="es-CL" w:eastAsia="es-CL"/>
        </w:rPr>
        <w:t>s</w:t>
      </w:r>
      <w:r w:rsidRPr="00252C1F">
        <w:rPr>
          <w:rFonts w:ascii="Arial" w:hAnsi="Arial" w:cs="Arial"/>
          <w:sz w:val="22"/>
          <w:szCs w:val="22"/>
          <w:lang w:val="es-CL" w:eastAsia="es-CL"/>
        </w:rPr>
        <w:t xml:space="preserve"> 64 bis</w:t>
      </w:r>
      <w:r w:rsidR="00837985" w:rsidRPr="00252C1F">
        <w:rPr>
          <w:rFonts w:ascii="Arial" w:hAnsi="Arial" w:cs="Arial"/>
          <w:sz w:val="22"/>
          <w:szCs w:val="22"/>
          <w:lang w:val="es-CL" w:eastAsia="es-CL"/>
        </w:rPr>
        <w:t xml:space="preserve"> y 64 ter</w:t>
      </w:r>
      <w:r w:rsidRPr="00252C1F">
        <w:rPr>
          <w:rFonts w:ascii="Arial" w:hAnsi="Arial" w:cs="Arial"/>
          <w:sz w:val="22"/>
          <w:szCs w:val="22"/>
          <w:lang w:val="es-CL" w:eastAsia="es-CL"/>
        </w:rPr>
        <w:t xml:space="preserve"> de la </w:t>
      </w:r>
      <w:r w:rsidR="00837985" w:rsidRPr="00252C1F">
        <w:rPr>
          <w:rFonts w:ascii="Arial" w:hAnsi="Arial" w:cs="Arial"/>
          <w:sz w:val="22"/>
          <w:szCs w:val="22"/>
          <w:lang w:val="es-CL" w:eastAsia="es-CL"/>
        </w:rPr>
        <w:t>LIR</w:t>
      </w:r>
      <w:r w:rsidRPr="00252C1F">
        <w:rPr>
          <w:rFonts w:ascii="Arial" w:hAnsi="Arial" w:cs="Arial"/>
          <w:sz w:val="22"/>
          <w:szCs w:val="22"/>
          <w:lang w:val="es-CL" w:eastAsia="es-CL"/>
        </w:rPr>
        <w:t>.</w:t>
      </w:r>
    </w:p>
    <w:p w:rsidR="00C638DB" w:rsidRPr="00252C1F" w:rsidRDefault="00C638DB" w:rsidP="00596F98">
      <w:pPr>
        <w:autoSpaceDE w:val="0"/>
        <w:autoSpaceDN w:val="0"/>
        <w:adjustRightInd w:val="0"/>
        <w:ind w:right="-142"/>
        <w:jc w:val="both"/>
        <w:rPr>
          <w:rFonts w:ascii="Arial" w:hAnsi="Arial" w:cs="Arial"/>
          <w:sz w:val="22"/>
          <w:szCs w:val="22"/>
          <w:lang w:val="es-CL" w:eastAsia="es-CL"/>
        </w:rPr>
      </w:pPr>
    </w:p>
    <w:p w:rsidR="00596F98" w:rsidRPr="00252C1F" w:rsidRDefault="00596F98" w:rsidP="00596F98">
      <w:pPr>
        <w:autoSpaceDE w:val="0"/>
        <w:autoSpaceDN w:val="0"/>
        <w:adjustRightInd w:val="0"/>
        <w:ind w:right="-142"/>
        <w:jc w:val="both"/>
        <w:rPr>
          <w:rFonts w:ascii="Arial" w:hAnsi="Arial" w:cs="Arial"/>
          <w:sz w:val="22"/>
          <w:szCs w:val="22"/>
          <w:lang w:val="es-CL" w:eastAsia="es-CL"/>
        </w:rPr>
      </w:pPr>
      <w:r w:rsidRPr="00252C1F">
        <w:rPr>
          <w:rFonts w:ascii="Arial" w:hAnsi="Arial" w:cs="Arial"/>
          <w:sz w:val="22"/>
          <w:szCs w:val="22"/>
          <w:lang w:val="es-CL" w:eastAsia="es-CL"/>
        </w:rPr>
        <w:t xml:space="preserve">Por consiguiente, estos contribuyentes pueden optar por abandonar dicho régimen y acogerse a lo dispuesto en los artículos 64 bis y 64 ter de </w:t>
      </w:r>
      <w:smartTag w:uri="urn:schemas-microsoft-com:office:smarttags" w:element="PersonName">
        <w:smartTagPr>
          <w:attr w:name="ProductID" w:val="la LIR"/>
        </w:smartTagPr>
        <w:r w:rsidRPr="00252C1F">
          <w:rPr>
            <w:rFonts w:ascii="Arial" w:hAnsi="Arial" w:cs="Arial"/>
            <w:sz w:val="22"/>
            <w:szCs w:val="22"/>
            <w:lang w:val="es-CL" w:eastAsia="es-CL"/>
          </w:rPr>
          <w:t>la LIR</w:t>
        </w:r>
      </w:smartTag>
      <w:r w:rsidRPr="00252C1F">
        <w:rPr>
          <w:rFonts w:ascii="Arial" w:hAnsi="Arial" w:cs="Arial"/>
          <w:sz w:val="22"/>
          <w:szCs w:val="22"/>
          <w:lang w:val="es-CL" w:eastAsia="es-CL"/>
        </w:rPr>
        <w:t xml:space="preserve">, bajo las modalidades que se indican en el </w:t>
      </w:r>
      <w:r w:rsidR="001864D0">
        <w:rPr>
          <w:rFonts w:ascii="Arial" w:hAnsi="Arial" w:cs="Arial"/>
          <w:sz w:val="22"/>
          <w:szCs w:val="22"/>
          <w:lang w:val="es-CL" w:eastAsia="es-CL"/>
        </w:rPr>
        <w:t>N°</w:t>
      </w:r>
      <w:r w:rsidR="00D531E6" w:rsidRPr="00AB6DB0">
        <w:rPr>
          <w:rFonts w:ascii="Arial" w:hAnsi="Arial" w:cs="Arial"/>
          <w:b/>
          <w:sz w:val="22"/>
          <w:szCs w:val="22"/>
          <w:lang w:val="es-CL" w:eastAsia="es-CL"/>
        </w:rPr>
        <w:t>(1.</w:t>
      </w:r>
      <w:r w:rsidR="001864D0">
        <w:rPr>
          <w:rFonts w:ascii="Arial" w:hAnsi="Arial" w:cs="Arial"/>
          <w:b/>
          <w:sz w:val="22"/>
          <w:szCs w:val="22"/>
          <w:lang w:val="es-CL" w:eastAsia="es-CL"/>
        </w:rPr>
        <w:t>4</w:t>
      </w:r>
      <w:r w:rsidR="00812AA8" w:rsidRPr="00AB6DB0">
        <w:rPr>
          <w:rFonts w:ascii="Arial" w:hAnsi="Arial" w:cs="Arial"/>
          <w:b/>
          <w:sz w:val="22"/>
          <w:szCs w:val="22"/>
          <w:lang w:val="es-CL" w:eastAsia="es-CL"/>
        </w:rPr>
        <w:t>.</w:t>
      </w:r>
      <w:r w:rsidR="00D531E6" w:rsidRPr="00AB6DB0">
        <w:rPr>
          <w:rFonts w:ascii="Arial" w:hAnsi="Arial" w:cs="Arial"/>
          <w:b/>
          <w:sz w:val="22"/>
          <w:szCs w:val="22"/>
          <w:lang w:val="es-CL" w:eastAsia="es-CL"/>
        </w:rPr>
        <w:t>)</w:t>
      </w:r>
      <w:r w:rsidRPr="00252C1F">
        <w:rPr>
          <w:rFonts w:ascii="Arial" w:hAnsi="Arial" w:cs="Arial"/>
          <w:sz w:val="22"/>
          <w:szCs w:val="22"/>
          <w:lang w:val="es-CL" w:eastAsia="es-CL"/>
        </w:rPr>
        <w:t xml:space="preserve"> siguiente</w:t>
      </w:r>
      <w:r w:rsidR="003B3FB0" w:rsidRPr="00252C1F">
        <w:rPr>
          <w:rFonts w:ascii="Arial" w:hAnsi="Arial" w:cs="Arial"/>
          <w:sz w:val="22"/>
          <w:szCs w:val="22"/>
          <w:lang w:val="es-CL" w:eastAsia="es-CL"/>
        </w:rPr>
        <w:t>, en que se destacan los efectos de lo dispuesto en los artículos 1° y 2° transitorios de la Ley 20</w:t>
      </w:r>
      <w:r w:rsidR="00B56A99" w:rsidRPr="00252C1F">
        <w:rPr>
          <w:rFonts w:ascii="Arial" w:hAnsi="Arial" w:cs="Arial"/>
          <w:sz w:val="22"/>
          <w:szCs w:val="22"/>
          <w:lang w:val="es-CL" w:eastAsia="es-CL"/>
        </w:rPr>
        <w:t>.</w:t>
      </w:r>
      <w:r w:rsidR="003B3FB0" w:rsidRPr="00252C1F">
        <w:rPr>
          <w:rFonts w:ascii="Arial" w:hAnsi="Arial" w:cs="Arial"/>
          <w:sz w:val="22"/>
          <w:szCs w:val="22"/>
          <w:lang w:val="es-CL" w:eastAsia="es-CL"/>
        </w:rPr>
        <w:t>469.</w:t>
      </w:r>
    </w:p>
    <w:p w:rsidR="00596F98" w:rsidRPr="00252C1F" w:rsidRDefault="00596F98" w:rsidP="00596F98">
      <w:pPr>
        <w:autoSpaceDE w:val="0"/>
        <w:autoSpaceDN w:val="0"/>
        <w:adjustRightInd w:val="0"/>
        <w:jc w:val="both"/>
        <w:rPr>
          <w:rFonts w:ascii="Arial" w:hAnsi="Arial" w:cs="Arial"/>
          <w:sz w:val="22"/>
          <w:szCs w:val="22"/>
          <w:lang w:val="es-CL" w:eastAsia="es-CL"/>
        </w:rPr>
      </w:pPr>
    </w:p>
    <w:p w:rsidR="00596F98" w:rsidRPr="00252C1F" w:rsidRDefault="00596F98" w:rsidP="00CF6808">
      <w:pPr>
        <w:numPr>
          <w:ilvl w:val="0"/>
          <w:numId w:val="32"/>
        </w:numPr>
        <w:autoSpaceDE w:val="0"/>
        <w:autoSpaceDN w:val="0"/>
        <w:adjustRightInd w:val="0"/>
        <w:ind w:left="0" w:firstLine="360"/>
        <w:jc w:val="both"/>
        <w:rPr>
          <w:rFonts w:ascii="Arial" w:hAnsi="Arial" w:cs="Arial"/>
          <w:sz w:val="22"/>
          <w:szCs w:val="22"/>
          <w:lang w:val="es-CL" w:eastAsia="es-CL"/>
        </w:rPr>
      </w:pPr>
      <w:r w:rsidRPr="00252C1F">
        <w:rPr>
          <w:rFonts w:ascii="Arial" w:hAnsi="Arial" w:cs="Arial"/>
          <w:sz w:val="22"/>
          <w:szCs w:val="22"/>
          <w:lang w:val="es-CL" w:eastAsia="es-CL"/>
        </w:rPr>
        <w:t>Empresas</w:t>
      </w:r>
      <w:r w:rsidR="00647D96" w:rsidRPr="00252C1F">
        <w:rPr>
          <w:rFonts w:ascii="Arial" w:hAnsi="Arial" w:cs="Arial"/>
          <w:sz w:val="22"/>
          <w:szCs w:val="22"/>
          <w:lang w:val="es-CL" w:eastAsia="es-CL"/>
        </w:rPr>
        <w:t xml:space="preserve"> nacionales</w:t>
      </w:r>
      <w:r w:rsidRPr="00252C1F">
        <w:rPr>
          <w:rFonts w:ascii="Arial" w:hAnsi="Arial" w:cs="Arial"/>
          <w:sz w:val="22"/>
          <w:szCs w:val="22"/>
          <w:lang w:val="es-CL" w:eastAsia="es-CL"/>
        </w:rPr>
        <w:t xml:space="preserve"> que no siendo receptoras del aporte de inversionistas extranjeros, hayan suscrito un contrato con el Estado de Chile</w:t>
      </w:r>
      <w:r w:rsidR="005D5306">
        <w:rPr>
          <w:rFonts w:ascii="Arial" w:hAnsi="Arial" w:cs="Arial"/>
          <w:sz w:val="22"/>
          <w:szCs w:val="22"/>
          <w:lang w:val="es-CL" w:eastAsia="es-CL"/>
        </w:rPr>
        <w:t>,</w:t>
      </w:r>
      <w:r w:rsidRPr="00252C1F">
        <w:rPr>
          <w:rFonts w:ascii="Arial" w:hAnsi="Arial" w:cs="Arial"/>
          <w:sz w:val="22"/>
          <w:szCs w:val="22"/>
          <w:lang w:val="es-CL" w:eastAsia="es-CL"/>
        </w:rPr>
        <w:t xml:space="preserve"> conviniendo la invariabilidad tributaria del artículo 5° transitorio de la </w:t>
      </w:r>
      <w:r w:rsidR="003B3FB0" w:rsidRPr="00252C1F">
        <w:rPr>
          <w:rFonts w:ascii="Arial" w:hAnsi="Arial" w:cs="Arial"/>
          <w:sz w:val="22"/>
          <w:szCs w:val="22"/>
          <w:lang w:val="es-CL" w:eastAsia="es-CL"/>
        </w:rPr>
        <w:t>L</w:t>
      </w:r>
      <w:r w:rsidRPr="00252C1F">
        <w:rPr>
          <w:rFonts w:ascii="Arial" w:hAnsi="Arial" w:cs="Arial"/>
          <w:sz w:val="22"/>
          <w:szCs w:val="22"/>
          <w:lang w:val="es-CL" w:eastAsia="es-CL"/>
        </w:rPr>
        <w:t>ey 20.026.</w:t>
      </w:r>
    </w:p>
    <w:p w:rsidR="00596F98" w:rsidRPr="00252C1F" w:rsidRDefault="00596F98" w:rsidP="00596F98">
      <w:pPr>
        <w:autoSpaceDE w:val="0"/>
        <w:autoSpaceDN w:val="0"/>
        <w:adjustRightInd w:val="0"/>
        <w:jc w:val="both"/>
        <w:rPr>
          <w:rFonts w:ascii="Arial" w:hAnsi="Arial" w:cs="Arial"/>
          <w:sz w:val="22"/>
          <w:szCs w:val="22"/>
          <w:lang w:val="es-CL" w:eastAsia="es-CL"/>
        </w:rPr>
      </w:pPr>
    </w:p>
    <w:p w:rsidR="00946724" w:rsidRDefault="00640512" w:rsidP="00AB6DB0">
      <w:pPr>
        <w:autoSpaceDE w:val="0"/>
        <w:autoSpaceDN w:val="0"/>
        <w:adjustRightInd w:val="0"/>
        <w:ind w:right="-142"/>
        <w:jc w:val="both"/>
        <w:rPr>
          <w:rFonts w:ascii="Arial" w:hAnsi="Arial" w:cs="Arial"/>
          <w:sz w:val="22"/>
          <w:szCs w:val="22"/>
          <w:lang w:val="es-CL" w:eastAsia="es-CL"/>
        </w:rPr>
      </w:pPr>
      <w:r w:rsidRPr="00252C1F">
        <w:rPr>
          <w:rFonts w:ascii="Arial" w:hAnsi="Arial" w:cs="Arial"/>
          <w:sz w:val="22"/>
          <w:szCs w:val="22"/>
          <w:lang w:val="es-CL" w:eastAsia="es-CL"/>
        </w:rPr>
        <w:t>Vale decir, aquellos contribuyentes que</w:t>
      </w:r>
      <w:r w:rsidR="008F233B" w:rsidRPr="00252C1F">
        <w:rPr>
          <w:rFonts w:ascii="Arial" w:hAnsi="Arial" w:cs="Arial"/>
          <w:sz w:val="22"/>
          <w:szCs w:val="22"/>
          <w:lang w:val="es-CL" w:eastAsia="es-CL"/>
        </w:rPr>
        <w:t xml:space="preserve">, conforme a lo dispuesto en el artículo 5° transitorio de la </w:t>
      </w:r>
      <w:r w:rsidR="00BA2C95" w:rsidRPr="00252C1F">
        <w:rPr>
          <w:rFonts w:ascii="Arial" w:hAnsi="Arial" w:cs="Arial"/>
          <w:sz w:val="22"/>
          <w:szCs w:val="22"/>
          <w:lang w:val="es-CL" w:eastAsia="es-CL"/>
        </w:rPr>
        <w:t>L</w:t>
      </w:r>
      <w:r w:rsidR="008F233B" w:rsidRPr="00252C1F">
        <w:rPr>
          <w:rFonts w:ascii="Arial" w:hAnsi="Arial" w:cs="Arial"/>
          <w:sz w:val="22"/>
          <w:szCs w:val="22"/>
          <w:lang w:val="es-CL" w:eastAsia="es-CL"/>
        </w:rPr>
        <w:t>ey 20.026,</w:t>
      </w:r>
      <w:r w:rsidRPr="00252C1F">
        <w:rPr>
          <w:rFonts w:ascii="Arial" w:hAnsi="Arial" w:cs="Arial"/>
          <w:sz w:val="22"/>
          <w:szCs w:val="22"/>
          <w:lang w:val="es-CL" w:eastAsia="es-CL"/>
        </w:rPr>
        <w:t xml:space="preserve"> hubieran solicitado se</w:t>
      </w:r>
      <w:r w:rsidR="00596F98" w:rsidRPr="00252C1F">
        <w:rPr>
          <w:rFonts w:ascii="Arial" w:hAnsi="Arial" w:cs="Arial"/>
          <w:sz w:val="22"/>
          <w:szCs w:val="22"/>
          <w:lang w:val="es-CL" w:eastAsia="es-CL"/>
        </w:rPr>
        <w:t xml:space="preserve"> </w:t>
      </w:r>
      <w:r w:rsidR="008F233B" w:rsidRPr="00252C1F">
        <w:rPr>
          <w:rFonts w:ascii="Arial" w:hAnsi="Arial" w:cs="Arial"/>
          <w:sz w:val="22"/>
          <w:szCs w:val="22"/>
          <w:lang w:val="es-CL" w:eastAsia="es-CL"/>
        </w:rPr>
        <w:t xml:space="preserve">les </w:t>
      </w:r>
      <w:r w:rsidR="00596F98" w:rsidRPr="00252C1F">
        <w:rPr>
          <w:rFonts w:ascii="Arial" w:hAnsi="Arial" w:cs="Arial"/>
          <w:sz w:val="22"/>
          <w:szCs w:val="22"/>
          <w:lang w:val="es-CL" w:eastAsia="es-CL"/>
        </w:rPr>
        <w:t>conceda</w:t>
      </w:r>
      <w:r w:rsidR="003B3FB0" w:rsidRPr="00252C1F">
        <w:rPr>
          <w:rFonts w:ascii="Arial" w:hAnsi="Arial" w:cs="Arial"/>
          <w:sz w:val="22"/>
          <w:szCs w:val="22"/>
          <w:lang w:val="es-CL" w:eastAsia="es-CL"/>
        </w:rPr>
        <w:t>n</w:t>
      </w:r>
      <w:r w:rsidR="00596F98" w:rsidRPr="00252C1F">
        <w:rPr>
          <w:rFonts w:ascii="Arial" w:hAnsi="Arial" w:cs="Arial"/>
          <w:sz w:val="22"/>
          <w:szCs w:val="22"/>
          <w:lang w:val="es-CL" w:eastAsia="es-CL"/>
        </w:rPr>
        <w:t xml:space="preserve"> l</w:t>
      </w:r>
      <w:r w:rsidR="008500D2" w:rsidRPr="00252C1F">
        <w:rPr>
          <w:rFonts w:ascii="Arial" w:hAnsi="Arial" w:cs="Arial"/>
          <w:sz w:val="22"/>
          <w:szCs w:val="22"/>
          <w:lang w:val="es-CL" w:eastAsia="es-CL"/>
        </w:rPr>
        <w:t xml:space="preserve">os derechos </w:t>
      </w:r>
      <w:r w:rsidR="008F233B" w:rsidRPr="00252C1F">
        <w:rPr>
          <w:rFonts w:ascii="Arial" w:hAnsi="Arial" w:cs="Arial"/>
          <w:sz w:val="22"/>
          <w:szCs w:val="22"/>
          <w:lang w:val="es-CL" w:eastAsia="es-CL"/>
        </w:rPr>
        <w:t>co</w:t>
      </w:r>
      <w:r w:rsidR="00596F98" w:rsidRPr="00252C1F">
        <w:rPr>
          <w:rFonts w:ascii="Arial" w:hAnsi="Arial" w:cs="Arial"/>
          <w:sz w:val="22"/>
          <w:szCs w:val="22"/>
          <w:lang w:val="es-CL" w:eastAsia="es-CL"/>
        </w:rPr>
        <w:t>ntenid</w:t>
      </w:r>
      <w:r w:rsidR="008500D2" w:rsidRPr="00252C1F">
        <w:rPr>
          <w:rFonts w:ascii="Arial" w:hAnsi="Arial" w:cs="Arial"/>
          <w:sz w:val="22"/>
          <w:szCs w:val="22"/>
          <w:lang w:val="es-CL" w:eastAsia="es-CL"/>
        </w:rPr>
        <w:t>os</w:t>
      </w:r>
      <w:r w:rsidR="00596F98" w:rsidRPr="00252C1F">
        <w:rPr>
          <w:rFonts w:ascii="Arial" w:hAnsi="Arial" w:cs="Arial"/>
          <w:sz w:val="22"/>
          <w:szCs w:val="22"/>
          <w:lang w:val="es-CL" w:eastAsia="es-CL"/>
        </w:rPr>
        <w:t xml:space="preserve"> en el artículo 11 ter del </w:t>
      </w:r>
      <w:r w:rsidR="003B3FB0" w:rsidRPr="00252C1F">
        <w:rPr>
          <w:rFonts w:ascii="Arial" w:hAnsi="Arial" w:cs="Arial"/>
          <w:sz w:val="22"/>
          <w:szCs w:val="22"/>
          <w:lang w:val="es-CL" w:eastAsia="es-CL"/>
        </w:rPr>
        <w:t>DL</w:t>
      </w:r>
      <w:r w:rsidR="00596F98" w:rsidRPr="00252C1F">
        <w:rPr>
          <w:rFonts w:ascii="Arial" w:hAnsi="Arial" w:cs="Arial"/>
          <w:sz w:val="22"/>
          <w:szCs w:val="22"/>
          <w:lang w:val="es-CL" w:eastAsia="es-CL"/>
        </w:rPr>
        <w:t xml:space="preserve"> 600, de 1974, en las condiciones establecidas en dicho artículo</w:t>
      </w:r>
      <w:r w:rsidR="005D5306">
        <w:rPr>
          <w:rFonts w:ascii="Arial" w:hAnsi="Arial" w:cs="Arial"/>
          <w:sz w:val="22"/>
          <w:szCs w:val="22"/>
          <w:lang w:val="es-CL" w:eastAsia="es-CL"/>
        </w:rPr>
        <w:t xml:space="preserve"> transitorio</w:t>
      </w:r>
      <w:r w:rsidR="00B56A99" w:rsidRPr="00252C1F">
        <w:rPr>
          <w:rFonts w:ascii="Arial" w:hAnsi="Arial" w:cs="Arial"/>
          <w:sz w:val="22"/>
          <w:szCs w:val="22"/>
          <w:lang w:val="es-CL" w:eastAsia="es-CL"/>
        </w:rPr>
        <w:t xml:space="preserve">. Estos contribuyentes </w:t>
      </w:r>
      <w:r w:rsidRPr="00252C1F">
        <w:rPr>
          <w:rFonts w:ascii="Arial" w:hAnsi="Arial" w:cs="Arial"/>
          <w:sz w:val="22"/>
          <w:szCs w:val="22"/>
          <w:lang w:val="es-CL" w:eastAsia="es-CL"/>
        </w:rPr>
        <w:t xml:space="preserve">pueden optar por cambiar </w:t>
      </w:r>
      <w:r w:rsidR="005D5306">
        <w:rPr>
          <w:rFonts w:ascii="Arial" w:hAnsi="Arial" w:cs="Arial"/>
          <w:sz w:val="22"/>
          <w:szCs w:val="22"/>
          <w:lang w:val="es-CL" w:eastAsia="es-CL"/>
        </w:rPr>
        <w:t>ese</w:t>
      </w:r>
      <w:r w:rsidRPr="00252C1F">
        <w:rPr>
          <w:rFonts w:ascii="Arial" w:hAnsi="Arial" w:cs="Arial"/>
          <w:sz w:val="22"/>
          <w:szCs w:val="22"/>
          <w:lang w:val="es-CL" w:eastAsia="es-CL"/>
        </w:rPr>
        <w:t xml:space="preserve"> régimen tributario</w:t>
      </w:r>
      <w:r w:rsidR="005D5306">
        <w:rPr>
          <w:rFonts w:ascii="Arial" w:hAnsi="Arial" w:cs="Arial"/>
          <w:sz w:val="22"/>
          <w:szCs w:val="22"/>
          <w:lang w:val="es-CL" w:eastAsia="es-CL"/>
        </w:rPr>
        <w:t xml:space="preserve"> de invariabilidad</w:t>
      </w:r>
      <w:r w:rsidRPr="00252C1F">
        <w:rPr>
          <w:rFonts w:ascii="Arial" w:hAnsi="Arial" w:cs="Arial"/>
          <w:sz w:val="22"/>
          <w:szCs w:val="22"/>
          <w:lang w:val="es-CL" w:eastAsia="es-CL"/>
        </w:rPr>
        <w:t xml:space="preserve"> por el que establecen los artículos 64 bis y 64 ter de </w:t>
      </w:r>
      <w:smartTag w:uri="urn:schemas-microsoft-com:office:smarttags" w:element="PersonName">
        <w:smartTagPr>
          <w:attr w:name="ProductID" w:val="la LIR"/>
        </w:smartTagPr>
        <w:r w:rsidRPr="00252C1F">
          <w:rPr>
            <w:rFonts w:ascii="Arial" w:hAnsi="Arial" w:cs="Arial"/>
            <w:sz w:val="22"/>
            <w:szCs w:val="22"/>
            <w:lang w:val="es-CL" w:eastAsia="es-CL"/>
          </w:rPr>
          <w:t>la LIR</w:t>
        </w:r>
      </w:smartTag>
      <w:r w:rsidRPr="00252C1F">
        <w:rPr>
          <w:rFonts w:ascii="Arial" w:hAnsi="Arial" w:cs="Arial"/>
          <w:sz w:val="22"/>
          <w:szCs w:val="22"/>
          <w:lang w:val="es-CL" w:eastAsia="es-CL"/>
        </w:rPr>
        <w:t xml:space="preserve">, </w:t>
      </w:r>
      <w:r w:rsidR="0051340E" w:rsidRPr="00252C1F">
        <w:rPr>
          <w:rFonts w:ascii="Arial" w:hAnsi="Arial" w:cs="Arial"/>
          <w:sz w:val="22"/>
          <w:szCs w:val="22"/>
          <w:lang w:val="es-CL" w:eastAsia="es-CL"/>
        </w:rPr>
        <w:t xml:space="preserve">bajo las modalidades que se indican en el </w:t>
      </w:r>
      <w:r w:rsidR="00A20B80">
        <w:rPr>
          <w:rFonts w:ascii="Arial" w:hAnsi="Arial" w:cs="Arial"/>
          <w:sz w:val="22"/>
          <w:szCs w:val="22"/>
          <w:lang w:val="es-CL" w:eastAsia="es-CL"/>
        </w:rPr>
        <w:t>N°</w:t>
      </w:r>
      <w:r w:rsidR="00B84F29" w:rsidRPr="00AB6DB0">
        <w:rPr>
          <w:rFonts w:ascii="Arial" w:hAnsi="Arial" w:cs="Arial"/>
          <w:b/>
          <w:sz w:val="22"/>
          <w:szCs w:val="22"/>
          <w:lang w:val="es-CL" w:eastAsia="es-CL"/>
        </w:rPr>
        <w:t>(1.</w:t>
      </w:r>
      <w:r w:rsidR="00A20B80">
        <w:rPr>
          <w:rFonts w:ascii="Arial" w:hAnsi="Arial" w:cs="Arial"/>
          <w:b/>
          <w:sz w:val="22"/>
          <w:szCs w:val="22"/>
          <w:lang w:val="es-CL" w:eastAsia="es-CL"/>
        </w:rPr>
        <w:t>4</w:t>
      </w:r>
      <w:r w:rsidR="005D5306" w:rsidRPr="00AB6DB0">
        <w:rPr>
          <w:rFonts w:ascii="Arial" w:hAnsi="Arial" w:cs="Arial"/>
          <w:b/>
          <w:sz w:val="22"/>
          <w:szCs w:val="22"/>
          <w:lang w:val="es-CL" w:eastAsia="es-CL"/>
        </w:rPr>
        <w:t>.</w:t>
      </w:r>
      <w:r w:rsidR="00B84F29" w:rsidRPr="00AB6DB0">
        <w:rPr>
          <w:rFonts w:ascii="Arial" w:hAnsi="Arial" w:cs="Arial"/>
          <w:b/>
          <w:sz w:val="22"/>
          <w:szCs w:val="22"/>
          <w:lang w:val="es-CL" w:eastAsia="es-CL"/>
        </w:rPr>
        <w:t>)</w:t>
      </w:r>
      <w:r w:rsidR="0051340E" w:rsidRPr="00252C1F">
        <w:rPr>
          <w:rFonts w:ascii="Arial" w:hAnsi="Arial" w:cs="Arial"/>
          <w:sz w:val="22"/>
          <w:szCs w:val="22"/>
          <w:lang w:val="es-CL" w:eastAsia="es-CL"/>
        </w:rPr>
        <w:t xml:space="preserve"> siguiente</w:t>
      </w:r>
      <w:r w:rsidR="00B56A99" w:rsidRPr="00252C1F">
        <w:rPr>
          <w:rFonts w:ascii="Arial" w:hAnsi="Arial" w:cs="Arial"/>
          <w:sz w:val="22"/>
          <w:szCs w:val="22"/>
          <w:lang w:val="es-CL" w:eastAsia="es-CL"/>
        </w:rPr>
        <w:t>, en que se destacan los efectos de lo dispuesto en los artículos 1° y 2° transitorios de la Ley 20.469.</w:t>
      </w:r>
    </w:p>
    <w:p w:rsidR="00AB6DB0" w:rsidRPr="00252C1F" w:rsidRDefault="00AB6DB0" w:rsidP="00AB6DB0">
      <w:pPr>
        <w:autoSpaceDE w:val="0"/>
        <w:autoSpaceDN w:val="0"/>
        <w:adjustRightInd w:val="0"/>
        <w:ind w:right="-142"/>
        <w:jc w:val="both"/>
        <w:rPr>
          <w:rFonts w:ascii="Arial" w:hAnsi="Arial" w:cs="Arial"/>
          <w:sz w:val="22"/>
          <w:szCs w:val="22"/>
          <w:lang w:val="es-CL" w:eastAsia="es-CL"/>
        </w:rPr>
      </w:pPr>
    </w:p>
    <w:p w:rsidR="00315326" w:rsidRDefault="00315326" w:rsidP="00596F98">
      <w:pPr>
        <w:autoSpaceDE w:val="0"/>
        <w:autoSpaceDN w:val="0"/>
        <w:adjustRightInd w:val="0"/>
        <w:jc w:val="both"/>
        <w:rPr>
          <w:rFonts w:ascii="Arial" w:hAnsi="Arial" w:cs="Arial"/>
          <w:b/>
          <w:sz w:val="22"/>
          <w:szCs w:val="22"/>
          <w:lang w:val="es-CL" w:eastAsia="es-CL"/>
        </w:rPr>
      </w:pPr>
    </w:p>
    <w:p w:rsidR="00315326" w:rsidRDefault="00315326" w:rsidP="00596F98">
      <w:pPr>
        <w:autoSpaceDE w:val="0"/>
        <w:autoSpaceDN w:val="0"/>
        <w:adjustRightInd w:val="0"/>
        <w:jc w:val="both"/>
        <w:rPr>
          <w:rFonts w:ascii="Arial" w:hAnsi="Arial" w:cs="Arial"/>
          <w:b/>
          <w:sz w:val="22"/>
          <w:szCs w:val="22"/>
          <w:lang w:val="es-CL" w:eastAsia="es-CL"/>
        </w:rPr>
      </w:pPr>
    </w:p>
    <w:p w:rsidR="00315326" w:rsidRDefault="00315326" w:rsidP="00596F98">
      <w:pPr>
        <w:autoSpaceDE w:val="0"/>
        <w:autoSpaceDN w:val="0"/>
        <w:adjustRightInd w:val="0"/>
        <w:jc w:val="both"/>
        <w:rPr>
          <w:rFonts w:ascii="Arial" w:hAnsi="Arial" w:cs="Arial"/>
          <w:b/>
          <w:sz w:val="22"/>
          <w:szCs w:val="22"/>
          <w:lang w:val="es-CL" w:eastAsia="es-CL"/>
        </w:rPr>
      </w:pPr>
    </w:p>
    <w:p w:rsidR="00D22CE8" w:rsidRPr="00252C1F" w:rsidRDefault="000A0046" w:rsidP="00596F98">
      <w:pPr>
        <w:autoSpaceDE w:val="0"/>
        <w:autoSpaceDN w:val="0"/>
        <w:adjustRightInd w:val="0"/>
        <w:jc w:val="both"/>
        <w:rPr>
          <w:rFonts w:ascii="Arial" w:hAnsi="Arial" w:cs="Arial"/>
          <w:b/>
          <w:sz w:val="22"/>
          <w:szCs w:val="22"/>
          <w:lang w:val="es-CL" w:eastAsia="es-CL"/>
        </w:rPr>
      </w:pPr>
      <w:r w:rsidRPr="00252C1F">
        <w:rPr>
          <w:rFonts w:ascii="Arial" w:hAnsi="Arial" w:cs="Arial"/>
          <w:b/>
          <w:sz w:val="22"/>
          <w:szCs w:val="22"/>
          <w:lang w:val="es-CL" w:eastAsia="es-CL"/>
        </w:rPr>
        <w:t>(1.</w:t>
      </w:r>
      <w:r w:rsidR="00596F98" w:rsidRPr="00252C1F">
        <w:rPr>
          <w:rFonts w:ascii="Arial" w:hAnsi="Arial" w:cs="Arial"/>
          <w:b/>
          <w:sz w:val="22"/>
          <w:szCs w:val="22"/>
          <w:lang w:val="es-CL" w:eastAsia="es-CL"/>
        </w:rPr>
        <w:t>2</w:t>
      </w:r>
      <w:r w:rsidR="00576264">
        <w:rPr>
          <w:rFonts w:ascii="Arial" w:hAnsi="Arial" w:cs="Arial"/>
          <w:b/>
          <w:sz w:val="22"/>
          <w:szCs w:val="22"/>
          <w:lang w:val="es-CL" w:eastAsia="es-CL"/>
        </w:rPr>
        <w:t>.</w:t>
      </w:r>
      <w:r w:rsidRPr="00252C1F">
        <w:rPr>
          <w:rFonts w:ascii="Arial" w:hAnsi="Arial" w:cs="Arial"/>
          <w:b/>
          <w:sz w:val="22"/>
          <w:szCs w:val="22"/>
          <w:lang w:val="es-CL" w:eastAsia="es-CL"/>
        </w:rPr>
        <w:t>)</w:t>
      </w:r>
      <w:r w:rsidR="00596F98" w:rsidRPr="00252C1F">
        <w:rPr>
          <w:rFonts w:ascii="Arial" w:hAnsi="Arial" w:cs="Arial"/>
          <w:b/>
          <w:sz w:val="22"/>
          <w:szCs w:val="22"/>
          <w:lang w:val="es-CL" w:eastAsia="es-CL"/>
        </w:rPr>
        <w:t xml:space="preserve"> </w:t>
      </w:r>
      <w:r w:rsidR="00D22CE8" w:rsidRPr="00252C1F">
        <w:rPr>
          <w:rFonts w:ascii="Arial" w:hAnsi="Arial" w:cs="Arial"/>
          <w:b/>
          <w:sz w:val="22"/>
          <w:szCs w:val="22"/>
          <w:lang w:val="es-CL" w:eastAsia="es-CL"/>
        </w:rPr>
        <w:t>Efectos del</w:t>
      </w:r>
      <w:r w:rsidR="00363B67">
        <w:rPr>
          <w:rFonts w:ascii="Arial" w:hAnsi="Arial" w:cs="Arial"/>
          <w:b/>
          <w:sz w:val="22"/>
          <w:szCs w:val="22"/>
          <w:lang w:val="es-CL" w:eastAsia="es-CL"/>
        </w:rPr>
        <w:t xml:space="preserve"> ejercicio de l</w:t>
      </w:r>
      <w:r w:rsidR="00D22CE8" w:rsidRPr="00252C1F">
        <w:rPr>
          <w:rFonts w:ascii="Arial" w:hAnsi="Arial" w:cs="Arial"/>
          <w:b/>
          <w:sz w:val="22"/>
          <w:szCs w:val="22"/>
          <w:lang w:val="es-CL" w:eastAsia="es-CL"/>
        </w:rPr>
        <w:t xml:space="preserve">a </w:t>
      </w:r>
      <w:r w:rsidR="00D26917" w:rsidRPr="00252C1F">
        <w:rPr>
          <w:rFonts w:ascii="Arial" w:hAnsi="Arial" w:cs="Arial"/>
          <w:b/>
          <w:sz w:val="22"/>
          <w:szCs w:val="22"/>
          <w:lang w:val="es-CL" w:eastAsia="es-CL"/>
        </w:rPr>
        <w:t>opción</w:t>
      </w:r>
      <w:r w:rsidR="00D22CE8" w:rsidRPr="00252C1F">
        <w:rPr>
          <w:rFonts w:ascii="Arial" w:hAnsi="Arial" w:cs="Arial"/>
          <w:b/>
          <w:sz w:val="22"/>
          <w:szCs w:val="22"/>
          <w:lang w:val="es-CL" w:eastAsia="es-CL"/>
        </w:rPr>
        <w:t>.</w:t>
      </w:r>
    </w:p>
    <w:p w:rsidR="00D22CE8" w:rsidRPr="00252C1F" w:rsidRDefault="00D22CE8" w:rsidP="00596F98">
      <w:pPr>
        <w:autoSpaceDE w:val="0"/>
        <w:autoSpaceDN w:val="0"/>
        <w:adjustRightInd w:val="0"/>
        <w:jc w:val="both"/>
        <w:rPr>
          <w:rFonts w:ascii="Arial" w:hAnsi="Arial" w:cs="Arial"/>
          <w:b/>
          <w:sz w:val="22"/>
          <w:szCs w:val="22"/>
          <w:lang w:val="es-CL" w:eastAsia="es-CL"/>
        </w:rPr>
      </w:pPr>
    </w:p>
    <w:p w:rsidR="00CE17FE" w:rsidRPr="00252C1F" w:rsidRDefault="00D22CE8" w:rsidP="00596F98">
      <w:pPr>
        <w:autoSpaceDE w:val="0"/>
        <w:autoSpaceDN w:val="0"/>
        <w:adjustRightInd w:val="0"/>
        <w:jc w:val="both"/>
        <w:rPr>
          <w:rFonts w:ascii="Arial" w:hAnsi="Arial" w:cs="Arial"/>
          <w:sz w:val="22"/>
          <w:szCs w:val="22"/>
          <w:lang w:val="es-CL" w:eastAsia="es-CL"/>
        </w:rPr>
      </w:pPr>
      <w:r w:rsidRPr="00363B67">
        <w:rPr>
          <w:rFonts w:ascii="Arial" w:hAnsi="Arial" w:cs="Arial"/>
          <w:sz w:val="22"/>
          <w:szCs w:val="22"/>
          <w:lang w:val="es-CL" w:eastAsia="es-CL"/>
        </w:rPr>
        <w:t>De lo dispuesto por las disposiciones legales citadas</w:t>
      </w:r>
      <w:r w:rsidR="00B46C9A" w:rsidRPr="00363B67">
        <w:rPr>
          <w:rFonts w:ascii="Arial" w:hAnsi="Arial" w:cs="Arial"/>
          <w:sz w:val="22"/>
          <w:szCs w:val="22"/>
          <w:lang w:val="es-CL" w:eastAsia="es-CL"/>
        </w:rPr>
        <w:t>, especialmente</w:t>
      </w:r>
      <w:r w:rsidR="00CA4ECB" w:rsidRPr="00363B67">
        <w:rPr>
          <w:rFonts w:ascii="Arial" w:hAnsi="Arial" w:cs="Arial"/>
          <w:sz w:val="22"/>
          <w:szCs w:val="22"/>
          <w:lang w:val="es-CL" w:eastAsia="es-CL"/>
        </w:rPr>
        <w:t xml:space="preserve"> en cuanto a que se trata de normas relativas al </w:t>
      </w:r>
      <w:r w:rsidR="00CA4ECB" w:rsidRPr="00363B67">
        <w:rPr>
          <w:rFonts w:ascii="Arial" w:hAnsi="Arial" w:cs="Arial"/>
          <w:b/>
          <w:sz w:val="22"/>
          <w:szCs w:val="22"/>
          <w:lang w:val="es-CL" w:eastAsia="es-CL"/>
        </w:rPr>
        <w:t>IEM</w:t>
      </w:r>
      <w:r w:rsidR="00CA4ECB" w:rsidRPr="00363B67">
        <w:rPr>
          <w:rFonts w:ascii="Arial" w:hAnsi="Arial" w:cs="Arial"/>
          <w:sz w:val="22"/>
          <w:szCs w:val="22"/>
          <w:lang w:val="es-CL" w:eastAsia="es-CL"/>
        </w:rPr>
        <w:t xml:space="preserve">, la opción que ejerzan los contribuyentes </w:t>
      </w:r>
      <w:r w:rsidR="00363B67">
        <w:rPr>
          <w:rFonts w:ascii="Arial" w:hAnsi="Arial" w:cs="Arial"/>
          <w:sz w:val="22"/>
          <w:szCs w:val="22"/>
          <w:lang w:val="es-CL" w:eastAsia="es-CL"/>
        </w:rPr>
        <w:t>señalados</w:t>
      </w:r>
      <w:r w:rsidR="00CA4ECB" w:rsidRPr="00363B67">
        <w:rPr>
          <w:rFonts w:ascii="Arial" w:hAnsi="Arial" w:cs="Arial"/>
          <w:sz w:val="22"/>
          <w:szCs w:val="22"/>
          <w:lang w:val="es-CL" w:eastAsia="es-CL"/>
        </w:rPr>
        <w:t xml:space="preserve">, sólo puede ser entendida como la sustitución del régimen tributario del </w:t>
      </w:r>
      <w:r w:rsidR="00CA4ECB" w:rsidRPr="00363B67">
        <w:rPr>
          <w:rFonts w:ascii="Arial" w:hAnsi="Arial" w:cs="Arial"/>
          <w:b/>
          <w:sz w:val="22"/>
          <w:szCs w:val="22"/>
          <w:lang w:val="es-CL" w:eastAsia="es-CL"/>
        </w:rPr>
        <w:t>IEM</w:t>
      </w:r>
      <w:r w:rsidR="00CA4ECB" w:rsidRPr="00363B67">
        <w:rPr>
          <w:rFonts w:ascii="Arial" w:hAnsi="Arial" w:cs="Arial"/>
          <w:sz w:val="22"/>
          <w:szCs w:val="22"/>
          <w:lang w:val="es-CL" w:eastAsia="es-CL"/>
        </w:rPr>
        <w:t xml:space="preserve">, y no como la renuncia a los demás derechos amparados por la invariabilidad que contempla el artículo 11 ter del DL 600, es decir, aquellos </w:t>
      </w:r>
      <w:r w:rsidR="00CE17FE" w:rsidRPr="00363B67">
        <w:rPr>
          <w:rFonts w:ascii="Arial" w:hAnsi="Arial" w:cs="Arial"/>
          <w:sz w:val="22"/>
          <w:szCs w:val="22"/>
          <w:lang w:val="es-CL" w:eastAsia="es-CL"/>
        </w:rPr>
        <w:t xml:space="preserve">a que se refieren los </w:t>
      </w:r>
      <w:r w:rsidR="00576264" w:rsidRPr="00363B67">
        <w:rPr>
          <w:rFonts w:ascii="Arial" w:hAnsi="Arial" w:cs="Arial"/>
          <w:sz w:val="22"/>
          <w:szCs w:val="22"/>
          <w:lang w:val="es-CL" w:eastAsia="es-CL"/>
        </w:rPr>
        <w:t>N°</w:t>
      </w:r>
      <w:r w:rsidR="00CE17FE" w:rsidRPr="00363B67">
        <w:rPr>
          <w:rFonts w:ascii="Arial" w:hAnsi="Arial" w:cs="Arial"/>
          <w:sz w:val="22"/>
          <w:szCs w:val="22"/>
          <w:lang w:val="es-CL" w:eastAsia="es-CL"/>
        </w:rPr>
        <w:t xml:space="preserve"> 2) y 3), del citado artículo.</w:t>
      </w:r>
      <w:r w:rsidR="00FB45B7" w:rsidRPr="00363B67">
        <w:rPr>
          <w:rFonts w:ascii="Arial" w:hAnsi="Arial" w:cs="Arial"/>
          <w:sz w:val="22"/>
          <w:szCs w:val="22"/>
          <w:lang w:val="es-CL" w:eastAsia="es-CL"/>
        </w:rPr>
        <w:t xml:space="preserve"> De acuerdo a ello, no obstante haber ejercido esta opción, tales contribuyentes seguirán gozando de los derechos a que se refieren los </w:t>
      </w:r>
      <w:r w:rsidR="00576264" w:rsidRPr="00363B67">
        <w:rPr>
          <w:rFonts w:ascii="Arial" w:hAnsi="Arial" w:cs="Arial"/>
          <w:sz w:val="22"/>
          <w:szCs w:val="22"/>
          <w:lang w:val="es-CL" w:eastAsia="es-CL"/>
        </w:rPr>
        <w:t>N°s</w:t>
      </w:r>
      <w:r w:rsidR="00FB45B7" w:rsidRPr="00363B67">
        <w:rPr>
          <w:rFonts w:ascii="Arial" w:hAnsi="Arial" w:cs="Arial"/>
          <w:sz w:val="22"/>
          <w:szCs w:val="22"/>
          <w:lang w:val="es-CL" w:eastAsia="es-CL"/>
        </w:rPr>
        <w:t xml:space="preserve"> 2) y 3) del artículo 11 ter del DL 600, en la medida en que, obviamente, habiéndose encontrado gozando de </w:t>
      </w:r>
      <w:r w:rsidR="00576264" w:rsidRPr="00363B67">
        <w:rPr>
          <w:rFonts w:ascii="Arial" w:hAnsi="Arial" w:cs="Arial"/>
          <w:sz w:val="22"/>
          <w:szCs w:val="22"/>
          <w:lang w:val="es-CL" w:eastAsia="es-CL"/>
        </w:rPr>
        <w:t xml:space="preserve">tales derechos </w:t>
      </w:r>
      <w:r w:rsidR="00FB45B7" w:rsidRPr="00363B67">
        <w:rPr>
          <w:rFonts w:ascii="Arial" w:hAnsi="Arial" w:cs="Arial"/>
          <w:sz w:val="22"/>
          <w:szCs w:val="22"/>
          <w:lang w:val="es-CL" w:eastAsia="es-CL"/>
        </w:rPr>
        <w:t>con anterioridad al ejercicio de la opción, no hagan con motivo de ella una renuncia expresa de los mismos.</w:t>
      </w:r>
      <w:r w:rsidR="00957DB1" w:rsidRPr="00363B67">
        <w:rPr>
          <w:rFonts w:ascii="Arial" w:hAnsi="Arial" w:cs="Arial"/>
          <w:sz w:val="22"/>
          <w:szCs w:val="22"/>
          <w:lang w:val="es-CL" w:eastAsia="es-CL"/>
        </w:rPr>
        <w:t xml:space="preserve"> Cuando no se haya efe</w:t>
      </w:r>
      <w:r w:rsidR="00DC205B" w:rsidRPr="00363B67">
        <w:rPr>
          <w:rFonts w:ascii="Arial" w:hAnsi="Arial" w:cs="Arial"/>
          <w:sz w:val="22"/>
          <w:szCs w:val="22"/>
          <w:lang w:val="es-CL" w:eastAsia="es-CL"/>
        </w:rPr>
        <w:t>c</w:t>
      </w:r>
      <w:r w:rsidR="00957DB1" w:rsidRPr="00363B67">
        <w:rPr>
          <w:rFonts w:ascii="Arial" w:hAnsi="Arial" w:cs="Arial"/>
          <w:sz w:val="22"/>
          <w:szCs w:val="22"/>
          <w:lang w:val="es-CL" w:eastAsia="es-CL"/>
        </w:rPr>
        <w:t xml:space="preserve">tuado tal renuncia expresa, </w:t>
      </w:r>
      <w:r w:rsidR="00576264" w:rsidRPr="00363B67">
        <w:rPr>
          <w:rFonts w:ascii="Arial" w:hAnsi="Arial" w:cs="Arial"/>
          <w:sz w:val="22"/>
          <w:szCs w:val="22"/>
          <w:lang w:val="es-CL" w:eastAsia="es-CL"/>
        </w:rPr>
        <w:t>este Servicio</w:t>
      </w:r>
      <w:r w:rsidR="00957DB1" w:rsidRPr="00363B67">
        <w:rPr>
          <w:rFonts w:ascii="Arial" w:hAnsi="Arial" w:cs="Arial"/>
          <w:sz w:val="22"/>
          <w:szCs w:val="22"/>
          <w:lang w:val="es-CL" w:eastAsia="es-CL"/>
        </w:rPr>
        <w:t xml:space="preserve"> ent</w:t>
      </w:r>
      <w:r w:rsidR="00576264" w:rsidRPr="00363B67">
        <w:rPr>
          <w:rFonts w:ascii="Arial" w:hAnsi="Arial" w:cs="Arial"/>
          <w:sz w:val="22"/>
          <w:szCs w:val="22"/>
          <w:lang w:val="es-CL" w:eastAsia="es-CL"/>
        </w:rPr>
        <w:t>iende</w:t>
      </w:r>
      <w:r w:rsidR="00957DB1" w:rsidRPr="00363B67">
        <w:rPr>
          <w:rFonts w:ascii="Arial" w:hAnsi="Arial" w:cs="Arial"/>
          <w:sz w:val="22"/>
          <w:szCs w:val="22"/>
          <w:lang w:val="es-CL" w:eastAsia="es-CL"/>
        </w:rPr>
        <w:t xml:space="preserve"> que la opción sólo se refiere al reemplazo del régimen de invariabilidad contenido en el </w:t>
      </w:r>
      <w:r w:rsidR="00576264" w:rsidRPr="00363B67">
        <w:rPr>
          <w:rFonts w:ascii="Arial" w:hAnsi="Arial" w:cs="Arial"/>
          <w:sz w:val="22"/>
          <w:szCs w:val="22"/>
          <w:lang w:val="es-CL" w:eastAsia="es-CL"/>
        </w:rPr>
        <w:t>N°</w:t>
      </w:r>
      <w:r w:rsidR="00957DB1" w:rsidRPr="00363B67">
        <w:rPr>
          <w:rFonts w:ascii="Arial" w:hAnsi="Arial" w:cs="Arial"/>
          <w:sz w:val="22"/>
          <w:szCs w:val="22"/>
          <w:lang w:val="es-CL" w:eastAsia="es-CL"/>
        </w:rPr>
        <w:t xml:space="preserve"> 1) del comentado artículo 11 ter.</w:t>
      </w:r>
      <w:r w:rsidR="00FB45B7" w:rsidRPr="00252C1F">
        <w:rPr>
          <w:rFonts w:ascii="Arial" w:hAnsi="Arial" w:cs="Arial"/>
          <w:sz w:val="22"/>
          <w:szCs w:val="22"/>
          <w:lang w:val="es-CL" w:eastAsia="es-CL"/>
        </w:rPr>
        <w:t xml:space="preserve"> </w:t>
      </w:r>
    </w:p>
    <w:p w:rsidR="00CE17FE" w:rsidRPr="00252C1F" w:rsidRDefault="00CE17FE" w:rsidP="00596F98">
      <w:pPr>
        <w:autoSpaceDE w:val="0"/>
        <w:autoSpaceDN w:val="0"/>
        <w:adjustRightInd w:val="0"/>
        <w:jc w:val="both"/>
        <w:rPr>
          <w:rFonts w:ascii="Arial" w:hAnsi="Arial" w:cs="Arial"/>
          <w:sz w:val="22"/>
          <w:szCs w:val="22"/>
          <w:lang w:val="es-CL" w:eastAsia="es-CL"/>
        </w:rPr>
      </w:pPr>
    </w:p>
    <w:p w:rsidR="00596F98" w:rsidRPr="00252C1F" w:rsidRDefault="00D22CE8" w:rsidP="00596F98">
      <w:pPr>
        <w:autoSpaceDE w:val="0"/>
        <w:autoSpaceDN w:val="0"/>
        <w:adjustRightInd w:val="0"/>
        <w:jc w:val="both"/>
        <w:rPr>
          <w:rFonts w:ascii="Arial" w:hAnsi="Arial" w:cs="Arial"/>
          <w:b/>
          <w:sz w:val="22"/>
          <w:szCs w:val="22"/>
          <w:lang w:val="es-CL" w:eastAsia="es-CL"/>
        </w:rPr>
      </w:pPr>
      <w:r w:rsidRPr="00252C1F">
        <w:rPr>
          <w:rFonts w:ascii="Arial" w:hAnsi="Arial" w:cs="Arial"/>
          <w:b/>
          <w:sz w:val="22"/>
          <w:szCs w:val="22"/>
          <w:lang w:val="es-CL" w:eastAsia="es-CL"/>
        </w:rPr>
        <w:t>(1.3</w:t>
      </w:r>
      <w:r w:rsidR="000062E8">
        <w:rPr>
          <w:rFonts w:ascii="Arial" w:hAnsi="Arial" w:cs="Arial"/>
          <w:b/>
          <w:sz w:val="22"/>
          <w:szCs w:val="22"/>
          <w:lang w:val="es-CL" w:eastAsia="es-CL"/>
        </w:rPr>
        <w:t>.</w:t>
      </w:r>
      <w:r w:rsidRPr="00252C1F">
        <w:rPr>
          <w:rFonts w:ascii="Arial" w:hAnsi="Arial" w:cs="Arial"/>
          <w:b/>
          <w:sz w:val="22"/>
          <w:szCs w:val="22"/>
          <w:lang w:val="es-CL" w:eastAsia="es-CL"/>
        </w:rPr>
        <w:t xml:space="preserve">) </w:t>
      </w:r>
      <w:r w:rsidR="00596F98" w:rsidRPr="00252C1F">
        <w:rPr>
          <w:rFonts w:ascii="Arial" w:hAnsi="Arial" w:cs="Arial"/>
          <w:b/>
          <w:sz w:val="22"/>
          <w:szCs w:val="22"/>
          <w:lang w:val="es-CL" w:eastAsia="es-CL"/>
        </w:rPr>
        <w:t>Requisitos.</w:t>
      </w:r>
    </w:p>
    <w:p w:rsidR="00596F98" w:rsidRPr="00252C1F" w:rsidRDefault="00596F98" w:rsidP="00596F98">
      <w:pPr>
        <w:autoSpaceDE w:val="0"/>
        <w:autoSpaceDN w:val="0"/>
        <w:adjustRightInd w:val="0"/>
        <w:jc w:val="both"/>
        <w:rPr>
          <w:rFonts w:ascii="Arial" w:hAnsi="Arial" w:cs="Arial"/>
          <w:sz w:val="22"/>
          <w:szCs w:val="22"/>
          <w:lang w:val="es-CL" w:eastAsia="es-CL"/>
        </w:rPr>
      </w:pPr>
    </w:p>
    <w:p w:rsidR="002E73A0" w:rsidRPr="00252C1F" w:rsidRDefault="00FC28DE" w:rsidP="00596F98">
      <w:pPr>
        <w:autoSpaceDE w:val="0"/>
        <w:autoSpaceDN w:val="0"/>
        <w:adjustRightInd w:val="0"/>
        <w:jc w:val="both"/>
        <w:rPr>
          <w:rFonts w:ascii="Arial" w:hAnsi="Arial" w:cs="Arial"/>
          <w:sz w:val="22"/>
          <w:szCs w:val="22"/>
          <w:lang w:val="es-CL" w:eastAsia="es-CL"/>
        </w:rPr>
      </w:pPr>
      <w:r w:rsidRPr="00252C1F">
        <w:rPr>
          <w:rFonts w:ascii="Arial" w:hAnsi="Arial" w:cs="Arial"/>
          <w:sz w:val="22"/>
          <w:szCs w:val="22"/>
          <w:lang w:val="es-CL" w:eastAsia="es-CL"/>
        </w:rPr>
        <w:t>De acuerdo a lo establecido en el inciso 1°</w:t>
      </w:r>
      <w:r w:rsidR="00F63F7E" w:rsidRPr="00252C1F">
        <w:rPr>
          <w:rFonts w:ascii="Arial" w:hAnsi="Arial" w:cs="Arial"/>
          <w:sz w:val="22"/>
          <w:szCs w:val="22"/>
          <w:lang w:val="es-CL" w:eastAsia="es-CL"/>
        </w:rPr>
        <w:t>,</w:t>
      </w:r>
      <w:r w:rsidRPr="00252C1F">
        <w:rPr>
          <w:rFonts w:ascii="Arial" w:hAnsi="Arial" w:cs="Arial"/>
          <w:sz w:val="22"/>
          <w:szCs w:val="22"/>
          <w:lang w:val="es-CL" w:eastAsia="es-CL"/>
        </w:rPr>
        <w:t xml:space="preserve"> del artículo 2° </w:t>
      </w:r>
      <w:r w:rsidR="00F63F7E" w:rsidRPr="00252C1F">
        <w:rPr>
          <w:rFonts w:ascii="Arial" w:hAnsi="Arial" w:cs="Arial"/>
          <w:sz w:val="22"/>
          <w:szCs w:val="22"/>
          <w:lang w:val="es-CL" w:eastAsia="es-CL"/>
        </w:rPr>
        <w:t>t</w:t>
      </w:r>
      <w:r w:rsidRPr="00252C1F">
        <w:rPr>
          <w:rFonts w:ascii="Arial" w:hAnsi="Arial" w:cs="Arial"/>
          <w:sz w:val="22"/>
          <w:szCs w:val="22"/>
          <w:lang w:val="es-CL" w:eastAsia="es-CL"/>
        </w:rPr>
        <w:t>ransitorio</w:t>
      </w:r>
      <w:r w:rsidR="00F63F7E" w:rsidRPr="00252C1F">
        <w:rPr>
          <w:rFonts w:ascii="Arial" w:hAnsi="Arial" w:cs="Arial"/>
          <w:sz w:val="22"/>
          <w:szCs w:val="22"/>
          <w:lang w:val="es-CL" w:eastAsia="es-CL"/>
        </w:rPr>
        <w:t>,</w:t>
      </w:r>
      <w:r w:rsidRPr="00252C1F">
        <w:rPr>
          <w:rFonts w:ascii="Arial" w:hAnsi="Arial" w:cs="Arial"/>
          <w:sz w:val="22"/>
          <w:szCs w:val="22"/>
          <w:lang w:val="es-CL" w:eastAsia="es-CL"/>
        </w:rPr>
        <w:t xml:space="preserve"> de la Ley 20.469, p</w:t>
      </w:r>
      <w:r w:rsidR="00596F98" w:rsidRPr="00252C1F">
        <w:rPr>
          <w:rFonts w:ascii="Arial" w:hAnsi="Arial" w:cs="Arial"/>
          <w:sz w:val="22"/>
          <w:szCs w:val="22"/>
          <w:lang w:val="es-CL" w:eastAsia="es-CL"/>
        </w:rPr>
        <w:t xml:space="preserve">ara optar por la aplicación del régimen </w:t>
      </w:r>
      <w:r w:rsidR="00BA2C95" w:rsidRPr="00252C1F">
        <w:rPr>
          <w:rFonts w:ascii="Arial" w:hAnsi="Arial" w:cs="Arial"/>
          <w:sz w:val="22"/>
          <w:szCs w:val="22"/>
          <w:lang w:val="es-CL" w:eastAsia="es-CL"/>
        </w:rPr>
        <w:t>de los artículos 64 bis y 64 ter, de la LIR</w:t>
      </w:r>
      <w:r w:rsidR="00596F98" w:rsidRPr="00252C1F">
        <w:rPr>
          <w:rFonts w:ascii="Arial" w:hAnsi="Arial" w:cs="Arial"/>
          <w:sz w:val="22"/>
          <w:szCs w:val="22"/>
          <w:lang w:val="es-CL" w:eastAsia="es-CL"/>
        </w:rPr>
        <w:t>,</w:t>
      </w:r>
      <w:r w:rsidR="00697C63" w:rsidRPr="00252C1F">
        <w:rPr>
          <w:rFonts w:ascii="Arial" w:hAnsi="Arial" w:cs="Arial"/>
          <w:sz w:val="22"/>
          <w:szCs w:val="22"/>
          <w:lang w:val="es-CL" w:eastAsia="es-CL"/>
        </w:rPr>
        <w:t xml:space="preserve"> con las particularidades que el propio artículo 2° transitorio contempla, </w:t>
      </w:r>
      <w:r w:rsidR="00596F98" w:rsidRPr="00252C1F">
        <w:rPr>
          <w:rFonts w:ascii="Arial" w:hAnsi="Arial" w:cs="Arial"/>
          <w:sz w:val="22"/>
          <w:szCs w:val="22"/>
          <w:lang w:val="es-CL" w:eastAsia="es-CL"/>
        </w:rPr>
        <w:t xml:space="preserve">los contribuyentes señalados en las letras </w:t>
      </w:r>
      <w:r w:rsidR="00596F98" w:rsidRPr="000062E8">
        <w:rPr>
          <w:rFonts w:ascii="Arial" w:hAnsi="Arial" w:cs="Arial"/>
          <w:b/>
          <w:sz w:val="22"/>
          <w:szCs w:val="22"/>
          <w:lang w:val="es-CL" w:eastAsia="es-CL"/>
        </w:rPr>
        <w:t>(a)</w:t>
      </w:r>
      <w:r w:rsidR="00596F98" w:rsidRPr="00252C1F">
        <w:rPr>
          <w:rFonts w:ascii="Arial" w:hAnsi="Arial" w:cs="Arial"/>
          <w:sz w:val="22"/>
          <w:szCs w:val="22"/>
          <w:lang w:val="es-CL" w:eastAsia="es-CL"/>
        </w:rPr>
        <w:t xml:space="preserve"> y </w:t>
      </w:r>
      <w:r w:rsidR="00596F98" w:rsidRPr="000062E8">
        <w:rPr>
          <w:rFonts w:ascii="Arial" w:hAnsi="Arial" w:cs="Arial"/>
          <w:b/>
          <w:sz w:val="22"/>
          <w:szCs w:val="22"/>
          <w:lang w:val="es-CL" w:eastAsia="es-CL"/>
        </w:rPr>
        <w:t>(b)</w:t>
      </w:r>
      <w:r w:rsidR="00596F98" w:rsidRPr="00252C1F">
        <w:rPr>
          <w:rFonts w:ascii="Arial" w:hAnsi="Arial" w:cs="Arial"/>
          <w:sz w:val="22"/>
          <w:szCs w:val="22"/>
          <w:lang w:val="es-CL" w:eastAsia="es-CL"/>
        </w:rPr>
        <w:t xml:space="preserve"> </w:t>
      </w:r>
      <w:r w:rsidR="004C35EE" w:rsidRPr="00252C1F">
        <w:rPr>
          <w:rFonts w:ascii="Arial" w:hAnsi="Arial" w:cs="Arial"/>
          <w:sz w:val="22"/>
          <w:szCs w:val="22"/>
          <w:lang w:val="es-CL" w:eastAsia="es-CL"/>
        </w:rPr>
        <w:t>del N°</w:t>
      </w:r>
      <w:r w:rsidR="004C35EE" w:rsidRPr="000062E8">
        <w:rPr>
          <w:rFonts w:ascii="Arial" w:hAnsi="Arial" w:cs="Arial"/>
          <w:b/>
          <w:sz w:val="22"/>
          <w:szCs w:val="22"/>
          <w:lang w:val="es-CL" w:eastAsia="es-CL"/>
        </w:rPr>
        <w:t>(1</w:t>
      </w:r>
      <w:r w:rsidR="00D041FB" w:rsidRPr="000062E8">
        <w:rPr>
          <w:rFonts w:ascii="Arial" w:hAnsi="Arial" w:cs="Arial"/>
          <w:b/>
          <w:sz w:val="22"/>
          <w:szCs w:val="22"/>
          <w:lang w:val="es-CL" w:eastAsia="es-CL"/>
        </w:rPr>
        <w:t>.1</w:t>
      </w:r>
      <w:r w:rsidR="000062E8" w:rsidRPr="000062E8">
        <w:rPr>
          <w:rFonts w:ascii="Arial" w:hAnsi="Arial" w:cs="Arial"/>
          <w:b/>
          <w:sz w:val="22"/>
          <w:szCs w:val="22"/>
          <w:lang w:val="es-CL" w:eastAsia="es-CL"/>
        </w:rPr>
        <w:t>.</w:t>
      </w:r>
      <w:r w:rsidR="004C35EE" w:rsidRPr="000062E8">
        <w:rPr>
          <w:rFonts w:ascii="Arial" w:hAnsi="Arial" w:cs="Arial"/>
          <w:b/>
          <w:sz w:val="22"/>
          <w:szCs w:val="22"/>
          <w:lang w:val="es-CL" w:eastAsia="es-CL"/>
        </w:rPr>
        <w:t>)</w:t>
      </w:r>
      <w:r w:rsidR="004C35EE" w:rsidRPr="00252C1F">
        <w:rPr>
          <w:rFonts w:ascii="Arial" w:hAnsi="Arial" w:cs="Arial"/>
          <w:sz w:val="22"/>
          <w:szCs w:val="22"/>
          <w:lang w:val="es-CL" w:eastAsia="es-CL"/>
        </w:rPr>
        <w:t xml:space="preserve"> </w:t>
      </w:r>
      <w:r w:rsidR="00596F98" w:rsidRPr="00252C1F">
        <w:rPr>
          <w:rFonts w:ascii="Arial" w:hAnsi="Arial" w:cs="Arial"/>
          <w:sz w:val="22"/>
          <w:szCs w:val="22"/>
          <w:lang w:val="es-CL" w:eastAsia="es-CL"/>
        </w:rPr>
        <w:t xml:space="preserve">anterior, deben </w:t>
      </w:r>
      <w:r w:rsidR="000725D1" w:rsidRPr="00252C1F">
        <w:rPr>
          <w:rFonts w:ascii="Arial" w:hAnsi="Arial" w:cs="Arial"/>
          <w:sz w:val="22"/>
          <w:szCs w:val="22"/>
          <w:lang w:val="es-CL" w:eastAsia="es-CL"/>
        </w:rPr>
        <w:t>encontrarse</w:t>
      </w:r>
      <w:r w:rsidR="00596F98" w:rsidRPr="00252C1F">
        <w:rPr>
          <w:rFonts w:ascii="Arial" w:hAnsi="Arial" w:cs="Arial"/>
          <w:sz w:val="22"/>
          <w:szCs w:val="22"/>
          <w:lang w:val="es-CL" w:eastAsia="es-CL"/>
        </w:rPr>
        <w:t xml:space="preserve"> </w:t>
      </w:r>
      <w:r w:rsidR="005538BB" w:rsidRPr="002F5D50">
        <w:rPr>
          <w:rFonts w:ascii="Arial" w:hAnsi="Arial" w:cs="Arial"/>
          <w:i/>
          <w:sz w:val="22"/>
          <w:szCs w:val="22"/>
          <w:lang w:val="es-CL" w:eastAsia="es-CL"/>
        </w:rPr>
        <w:t>“</w:t>
      </w:r>
      <w:r w:rsidR="00596F98" w:rsidRPr="002F5D50">
        <w:rPr>
          <w:rFonts w:ascii="Arial" w:hAnsi="Arial" w:cs="Arial"/>
          <w:i/>
          <w:sz w:val="22"/>
          <w:szCs w:val="22"/>
          <w:lang w:val="es-CL" w:eastAsia="es-CL"/>
        </w:rPr>
        <w:t>afectos</w:t>
      </w:r>
      <w:r w:rsidR="005538BB" w:rsidRPr="002F5D50">
        <w:rPr>
          <w:rFonts w:ascii="Arial" w:hAnsi="Arial" w:cs="Arial"/>
          <w:i/>
          <w:sz w:val="22"/>
          <w:szCs w:val="22"/>
          <w:lang w:val="es-CL" w:eastAsia="es-CL"/>
        </w:rPr>
        <w:t>”</w:t>
      </w:r>
      <w:r w:rsidR="00596F98" w:rsidRPr="00252C1F">
        <w:rPr>
          <w:rFonts w:ascii="Arial" w:hAnsi="Arial" w:cs="Arial"/>
          <w:sz w:val="22"/>
          <w:szCs w:val="22"/>
          <w:lang w:val="es-CL" w:eastAsia="es-CL"/>
        </w:rPr>
        <w:t xml:space="preserve"> al pago del </w:t>
      </w:r>
      <w:r w:rsidR="005538BB" w:rsidRPr="002F5D50">
        <w:rPr>
          <w:rFonts w:ascii="Arial" w:hAnsi="Arial" w:cs="Arial"/>
          <w:b/>
          <w:sz w:val="22"/>
          <w:szCs w:val="22"/>
          <w:lang w:val="es-CL" w:eastAsia="es-CL"/>
        </w:rPr>
        <w:t>IEM</w:t>
      </w:r>
      <w:r w:rsidR="00596F98" w:rsidRPr="00252C1F">
        <w:rPr>
          <w:rFonts w:ascii="Arial" w:hAnsi="Arial" w:cs="Arial"/>
          <w:sz w:val="22"/>
          <w:szCs w:val="22"/>
          <w:lang w:val="es-CL" w:eastAsia="es-CL"/>
        </w:rPr>
        <w:t>, a la fecha de la vigencia de la Ley 20.469</w:t>
      </w:r>
      <w:r w:rsidR="001E2129" w:rsidRPr="00252C1F">
        <w:rPr>
          <w:rStyle w:val="Refdenotaalpie"/>
          <w:rFonts w:ascii="Arial" w:hAnsi="Arial" w:cs="Arial"/>
          <w:sz w:val="22"/>
          <w:szCs w:val="22"/>
          <w:lang w:val="es-CL" w:eastAsia="es-CL"/>
        </w:rPr>
        <w:footnoteReference w:id="10"/>
      </w:r>
      <w:r w:rsidR="00596F98" w:rsidRPr="00252C1F">
        <w:rPr>
          <w:rFonts w:ascii="Arial" w:hAnsi="Arial" w:cs="Arial"/>
          <w:sz w:val="22"/>
          <w:szCs w:val="22"/>
          <w:lang w:val="es-CL" w:eastAsia="es-CL"/>
        </w:rPr>
        <w:t xml:space="preserve">. </w:t>
      </w:r>
    </w:p>
    <w:p w:rsidR="002E73A0" w:rsidRPr="00252C1F" w:rsidRDefault="002E73A0" w:rsidP="00596F98">
      <w:pPr>
        <w:autoSpaceDE w:val="0"/>
        <w:autoSpaceDN w:val="0"/>
        <w:adjustRightInd w:val="0"/>
        <w:jc w:val="both"/>
        <w:rPr>
          <w:rFonts w:ascii="Arial" w:hAnsi="Arial" w:cs="Arial"/>
          <w:sz w:val="22"/>
          <w:szCs w:val="22"/>
          <w:lang w:val="es-CL" w:eastAsia="es-CL"/>
        </w:rPr>
      </w:pPr>
    </w:p>
    <w:p w:rsidR="00697C63" w:rsidRPr="00252C1F" w:rsidRDefault="005538BB" w:rsidP="00596F98">
      <w:pPr>
        <w:autoSpaceDE w:val="0"/>
        <w:autoSpaceDN w:val="0"/>
        <w:adjustRightInd w:val="0"/>
        <w:jc w:val="both"/>
        <w:rPr>
          <w:rFonts w:ascii="Arial" w:hAnsi="Arial" w:cs="Arial"/>
          <w:sz w:val="22"/>
          <w:szCs w:val="22"/>
          <w:lang w:val="es-CL" w:eastAsia="es-CL"/>
        </w:rPr>
      </w:pPr>
      <w:r w:rsidRPr="00252C1F">
        <w:rPr>
          <w:rFonts w:ascii="Arial" w:hAnsi="Arial" w:cs="Arial"/>
          <w:sz w:val="22"/>
          <w:szCs w:val="22"/>
          <w:lang w:val="es-CL" w:eastAsia="es-CL"/>
        </w:rPr>
        <w:t>Para estos efectos, se entenderá que</w:t>
      </w:r>
      <w:r w:rsidR="000062E8">
        <w:rPr>
          <w:rFonts w:ascii="Arial" w:hAnsi="Arial" w:cs="Arial"/>
          <w:sz w:val="22"/>
          <w:szCs w:val="22"/>
          <w:lang w:val="es-CL" w:eastAsia="es-CL"/>
        </w:rPr>
        <w:t xml:space="preserve"> tales contribuyentes</w:t>
      </w:r>
      <w:r w:rsidRPr="00252C1F">
        <w:rPr>
          <w:rFonts w:ascii="Arial" w:hAnsi="Arial" w:cs="Arial"/>
          <w:sz w:val="22"/>
          <w:szCs w:val="22"/>
          <w:lang w:val="es-CL" w:eastAsia="es-CL"/>
        </w:rPr>
        <w:t xml:space="preserve"> se encuentran afectos al pago del citado tributo,</w:t>
      </w:r>
      <w:r w:rsidR="000062E8">
        <w:rPr>
          <w:rFonts w:ascii="Arial" w:hAnsi="Arial" w:cs="Arial"/>
          <w:sz w:val="22"/>
          <w:szCs w:val="22"/>
          <w:lang w:val="es-CL" w:eastAsia="es-CL"/>
        </w:rPr>
        <w:t xml:space="preserve"> cuando</w:t>
      </w:r>
      <w:r w:rsidR="00AD53EF" w:rsidRPr="00252C1F">
        <w:rPr>
          <w:rFonts w:ascii="Arial" w:hAnsi="Arial" w:cs="Arial"/>
          <w:sz w:val="22"/>
          <w:szCs w:val="22"/>
          <w:lang w:val="es-CL" w:eastAsia="es-CL"/>
        </w:rPr>
        <w:t xml:space="preserve"> habiendo suscrito un contrato </w:t>
      </w:r>
      <w:r w:rsidR="002700C1" w:rsidRPr="00252C1F">
        <w:rPr>
          <w:rFonts w:ascii="Arial" w:hAnsi="Arial" w:cs="Arial"/>
          <w:sz w:val="22"/>
          <w:szCs w:val="22"/>
          <w:lang w:val="es-CL" w:eastAsia="es-CL"/>
        </w:rPr>
        <w:t>conforme a lo dispuesto en el artículo 11 ter</w:t>
      </w:r>
      <w:r w:rsidR="00AD5C72" w:rsidRPr="00252C1F">
        <w:rPr>
          <w:rFonts w:ascii="Arial" w:hAnsi="Arial" w:cs="Arial"/>
          <w:sz w:val="22"/>
          <w:szCs w:val="22"/>
          <w:lang w:val="es-CL" w:eastAsia="es-CL"/>
        </w:rPr>
        <w:t xml:space="preserve"> </w:t>
      </w:r>
      <w:r w:rsidR="000062E8">
        <w:rPr>
          <w:rFonts w:ascii="Arial" w:hAnsi="Arial" w:cs="Arial"/>
          <w:sz w:val="22"/>
          <w:szCs w:val="22"/>
          <w:lang w:val="es-CL" w:eastAsia="es-CL"/>
        </w:rPr>
        <w:t>del DL 600 de 1974 (</w:t>
      </w:r>
      <w:r w:rsidR="002F5D50">
        <w:rPr>
          <w:rFonts w:ascii="Arial" w:hAnsi="Arial" w:cs="Arial"/>
          <w:sz w:val="22"/>
          <w:szCs w:val="22"/>
          <w:lang w:val="es-CL" w:eastAsia="es-CL"/>
        </w:rPr>
        <w:t xml:space="preserve">de acuerdo </w:t>
      </w:r>
      <w:r w:rsidR="000062E8">
        <w:rPr>
          <w:rFonts w:ascii="Arial" w:hAnsi="Arial" w:cs="Arial"/>
          <w:sz w:val="22"/>
          <w:szCs w:val="22"/>
          <w:lang w:val="es-CL" w:eastAsia="es-CL"/>
        </w:rPr>
        <w:t>a</w:t>
      </w:r>
      <w:r w:rsidR="00AD5C72" w:rsidRPr="00252C1F">
        <w:rPr>
          <w:rFonts w:ascii="Arial" w:hAnsi="Arial" w:cs="Arial"/>
          <w:sz w:val="22"/>
          <w:szCs w:val="22"/>
          <w:lang w:val="es-CL" w:eastAsia="es-CL"/>
        </w:rPr>
        <w:t xml:space="preserve"> la Ley 20.026</w:t>
      </w:r>
      <w:r w:rsidR="000062E8">
        <w:rPr>
          <w:rFonts w:ascii="Arial" w:hAnsi="Arial" w:cs="Arial"/>
          <w:sz w:val="22"/>
          <w:szCs w:val="22"/>
          <w:lang w:val="es-CL" w:eastAsia="es-CL"/>
        </w:rPr>
        <w:t>)</w:t>
      </w:r>
      <w:r w:rsidR="002700C1" w:rsidRPr="00252C1F">
        <w:rPr>
          <w:rFonts w:ascii="Arial" w:hAnsi="Arial" w:cs="Arial"/>
          <w:sz w:val="22"/>
          <w:szCs w:val="22"/>
          <w:lang w:val="es-CL" w:eastAsia="es-CL"/>
        </w:rPr>
        <w:t xml:space="preserve">, </w:t>
      </w:r>
      <w:r w:rsidR="00AD5C72" w:rsidRPr="00252C1F">
        <w:rPr>
          <w:rFonts w:ascii="Arial" w:hAnsi="Arial" w:cs="Arial"/>
          <w:sz w:val="22"/>
          <w:szCs w:val="22"/>
          <w:lang w:val="es-CL" w:eastAsia="es-CL"/>
        </w:rPr>
        <w:t xml:space="preserve">puedan </w:t>
      </w:r>
      <w:r w:rsidR="0023128B" w:rsidRPr="00252C1F">
        <w:rPr>
          <w:rFonts w:ascii="Arial" w:hAnsi="Arial" w:cs="Arial"/>
          <w:sz w:val="22"/>
          <w:szCs w:val="22"/>
          <w:lang w:val="es-CL" w:eastAsia="es-CL"/>
        </w:rPr>
        <w:t xml:space="preserve">eventualmente, </w:t>
      </w:r>
      <w:r w:rsidR="00AD5C72" w:rsidRPr="00252C1F">
        <w:rPr>
          <w:rFonts w:ascii="Arial" w:hAnsi="Arial" w:cs="Arial"/>
          <w:sz w:val="22"/>
          <w:szCs w:val="22"/>
          <w:lang w:val="es-CL" w:eastAsia="es-CL"/>
        </w:rPr>
        <w:t xml:space="preserve">en </w:t>
      </w:r>
      <w:r w:rsidR="002700C1" w:rsidRPr="00252C1F">
        <w:rPr>
          <w:rFonts w:ascii="Arial" w:hAnsi="Arial" w:cs="Arial"/>
          <w:sz w:val="22"/>
          <w:szCs w:val="22"/>
          <w:lang w:val="es-CL" w:eastAsia="es-CL"/>
        </w:rPr>
        <w:t xml:space="preserve">calidad de </w:t>
      </w:r>
      <w:r w:rsidR="002700C1" w:rsidRPr="009E672E">
        <w:rPr>
          <w:rFonts w:ascii="Arial" w:hAnsi="Arial" w:cs="Arial"/>
          <w:b/>
          <w:sz w:val="22"/>
          <w:szCs w:val="22"/>
          <w:lang w:val="es-CL" w:eastAsia="es-CL"/>
        </w:rPr>
        <w:t>EM</w:t>
      </w:r>
      <w:r w:rsidR="00AD5C72" w:rsidRPr="00252C1F">
        <w:rPr>
          <w:rFonts w:ascii="Arial" w:hAnsi="Arial" w:cs="Arial"/>
          <w:sz w:val="22"/>
          <w:szCs w:val="22"/>
          <w:lang w:val="es-CL" w:eastAsia="es-CL"/>
        </w:rPr>
        <w:t xml:space="preserve">, </w:t>
      </w:r>
      <w:r w:rsidR="00D47B7D" w:rsidRPr="00252C1F">
        <w:rPr>
          <w:rFonts w:ascii="Arial" w:hAnsi="Arial" w:cs="Arial"/>
          <w:sz w:val="22"/>
          <w:szCs w:val="22"/>
          <w:lang w:val="es-CL" w:eastAsia="es-CL"/>
        </w:rPr>
        <w:t xml:space="preserve">vender </w:t>
      </w:r>
      <w:r w:rsidR="00D47B7D" w:rsidRPr="009E672E">
        <w:rPr>
          <w:rFonts w:ascii="Arial" w:hAnsi="Arial" w:cs="Arial"/>
          <w:b/>
          <w:sz w:val="22"/>
          <w:szCs w:val="22"/>
          <w:lang w:val="es-CL" w:eastAsia="es-CL"/>
        </w:rPr>
        <w:t>PM</w:t>
      </w:r>
      <w:r w:rsidR="00D47B7D" w:rsidRPr="00252C1F">
        <w:rPr>
          <w:rFonts w:ascii="Arial" w:hAnsi="Arial" w:cs="Arial"/>
          <w:sz w:val="22"/>
          <w:szCs w:val="22"/>
          <w:lang w:val="es-CL" w:eastAsia="es-CL"/>
        </w:rPr>
        <w:t xml:space="preserve"> por montos que </w:t>
      </w:r>
      <w:r w:rsidR="0096259A" w:rsidRPr="00252C1F">
        <w:rPr>
          <w:rFonts w:ascii="Arial" w:hAnsi="Arial" w:cs="Arial"/>
          <w:sz w:val="22"/>
          <w:szCs w:val="22"/>
          <w:lang w:val="es-CL" w:eastAsia="es-CL"/>
        </w:rPr>
        <w:t>super</w:t>
      </w:r>
      <w:r w:rsidR="00D47B7D" w:rsidRPr="00252C1F">
        <w:rPr>
          <w:rFonts w:ascii="Arial" w:hAnsi="Arial" w:cs="Arial"/>
          <w:sz w:val="22"/>
          <w:szCs w:val="22"/>
          <w:lang w:val="es-CL" w:eastAsia="es-CL"/>
        </w:rPr>
        <w:t>en del valor</w:t>
      </w:r>
      <w:r w:rsidR="0096259A" w:rsidRPr="00252C1F">
        <w:rPr>
          <w:rFonts w:ascii="Arial" w:hAnsi="Arial" w:cs="Arial"/>
          <w:sz w:val="22"/>
          <w:szCs w:val="22"/>
          <w:lang w:val="es-CL" w:eastAsia="es-CL"/>
        </w:rPr>
        <w:t xml:space="preserve"> equivalente a 12.000 toneladas métricas de cobre fino</w:t>
      </w:r>
      <w:r w:rsidR="00D47B7D" w:rsidRPr="00252C1F">
        <w:rPr>
          <w:rFonts w:ascii="Arial" w:hAnsi="Arial" w:cs="Arial"/>
          <w:sz w:val="22"/>
          <w:szCs w:val="22"/>
          <w:lang w:val="es-CL" w:eastAsia="es-CL"/>
        </w:rPr>
        <w:t>, aun cuando, hasta la fecha, no hayan quedado efectivamente gravados con el citado tributo.</w:t>
      </w:r>
    </w:p>
    <w:p w:rsidR="00697C63" w:rsidRPr="00252C1F" w:rsidRDefault="00697C63" w:rsidP="00596F98">
      <w:pPr>
        <w:autoSpaceDE w:val="0"/>
        <w:autoSpaceDN w:val="0"/>
        <w:adjustRightInd w:val="0"/>
        <w:jc w:val="both"/>
        <w:rPr>
          <w:rFonts w:ascii="Arial" w:hAnsi="Arial" w:cs="Arial"/>
          <w:sz w:val="22"/>
          <w:szCs w:val="22"/>
          <w:lang w:val="es-CL" w:eastAsia="es-CL"/>
        </w:rPr>
      </w:pPr>
    </w:p>
    <w:p w:rsidR="00596F98" w:rsidRPr="00252C1F" w:rsidRDefault="00596F98" w:rsidP="00596F98">
      <w:pPr>
        <w:autoSpaceDE w:val="0"/>
        <w:autoSpaceDN w:val="0"/>
        <w:adjustRightInd w:val="0"/>
        <w:jc w:val="both"/>
        <w:rPr>
          <w:rFonts w:ascii="Arial" w:hAnsi="Arial" w:cs="Arial"/>
          <w:sz w:val="22"/>
          <w:szCs w:val="22"/>
          <w:lang w:val="es-CL" w:eastAsia="es-CL"/>
        </w:rPr>
      </w:pPr>
      <w:r w:rsidRPr="00252C1F">
        <w:rPr>
          <w:rFonts w:ascii="Arial" w:hAnsi="Arial" w:cs="Arial"/>
          <w:sz w:val="22"/>
          <w:szCs w:val="22"/>
          <w:lang w:val="es-CL" w:eastAsia="es-CL"/>
        </w:rPr>
        <w:t xml:space="preserve">Dicha opción se deberá </w:t>
      </w:r>
      <w:r w:rsidR="00C946A4" w:rsidRPr="00252C1F">
        <w:rPr>
          <w:rFonts w:ascii="Arial" w:hAnsi="Arial" w:cs="Arial"/>
          <w:sz w:val="22"/>
          <w:szCs w:val="22"/>
          <w:lang w:val="es-CL" w:eastAsia="es-CL"/>
        </w:rPr>
        <w:t>ejercer</w:t>
      </w:r>
      <w:r w:rsidRPr="00252C1F">
        <w:rPr>
          <w:rFonts w:ascii="Arial" w:hAnsi="Arial" w:cs="Arial"/>
          <w:sz w:val="22"/>
          <w:szCs w:val="22"/>
          <w:lang w:val="es-CL" w:eastAsia="es-CL"/>
        </w:rPr>
        <w:t xml:space="preserve"> en la forma</w:t>
      </w:r>
      <w:r w:rsidR="002F5D50">
        <w:rPr>
          <w:rFonts w:ascii="Arial" w:hAnsi="Arial" w:cs="Arial"/>
          <w:sz w:val="22"/>
          <w:szCs w:val="22"/>
          <w:lang w:val="es-CL" w:eastAsia="es-CL"/>
        </w:rPr>
        <w:t xml:space="preserve"> y plazo</w:t>
      </w:r>
      <w:r w:rsidRPr="00252C1F">
        <w:rPr>
          <w:rFonts w:ascii="Arial" w:hAnsi="Arial" w:cs="Arial"/>
          <w:sz w:val="22"/>
          <w:szCs w:val="22"/>
          <w:lang w:val="es-CL" w:eastAsia="es-CL"/>
        </w:rPr>
        <w:t xml:space="preserve"> que se indica en el </w:t>
      </w:r>
      <w:r w:rsidR="002F5D50">
        <w:rPr>
          <w:rFonts w:ascii="Arial" w:hAnsi="Arial" w:cs="Arial"/>
          <w:sz w:val="22"/>
          <w:szCs w:val="22"/>
          <w:lang w:val="es-CL" w:eastAsia="es-CL"/>
        </w:rPr>
        <w:t>N°</w:t>
      </w:r>
      <w:r w:rsidR="00D75416" w:rsidRPr="00252C1F">
        <w:rPr>
          <w:rFonts w:ascii="Arial" w:hAnsi="Arial" w:cs="Arial"/>
          <w:b/>
          <w:sz w:val="22"/>
          <w:szCs w:val="22"/>
          <w:lang w:val="es-CL" w:eastAsia="es-CL"/>
        </w:rPr>
        <w:t>(1.</w:t>
      </w:r>
      <w:r w:rsidR="00F37B89" w:rsidRPr="00252C1F">
        <w:rPr>
          <w:rFonts w:ascii="Arial" w:hAnsi="Arial" w:cs="Arial"/>
          <w:b/>
          <w:sz w:val="22"/>
          <w:szCs w:val="22"/>
          <w:lang w:val="es-CL" w:eastAsia="es-CL"/>
        </w:rPr>
        <w:t>6</w:t>
      </w:r>
      <w:r w:rsidR="00B47488">
        <w:rPr>
          <w:rFonts w:ascii="Arial" w:hAnsi="Arial" w:cs="Arial"/>
          <w:b/>
          <w:sz w:val="22"/>
          <w:szCs w:val="22"/>
          <w:lang w:val="es-CL" w:eastAsia="es-CL"/>
        </w:rPr>
        <w:t>.</w:t>
      </w:r>
      <w:r w:rsidR="00D75416" w:rsidRPr="00252C1F">
        <w:rPr>
          <w:rFonts w:ascii="Arial" w:hAnsi="Arial" w:cs="Arial"/>
          <w:b/>
          <w:sz w:val="22"/>
          <w:szCs w:val="22"/>
          <w:lang w:val="es-CL" w:eastAsia="es-CL"/>
        </w:rPr>
        <w:t>)</w:t>
      </w:r>
      <w:r w:rsidR="00D75416" w:rsidRPr="00252C1F">
        <w:rPr>
          <w:rFonts w:ascii="Arial" w:hAnsi="Arial" w:cs="Arial"/>
          <w:sz w:val="22"/>
          <w:szCs w:val="22"/>
          <w:lang w:val="es-CL" w:eastAsia="es-CL"/>
        </w:rPr>
        <w:t xml:space="preserve"> siguiente</w:t>
      </w:r>
      <w:r w:rsidRPr="00252C1F">
        <w:rPr>
          <w:rFonts w:ascii="Arial" w:hAnsi="Arial" w:cs="Arial"/>
          <w:sz w:val="22"/>
          <w:szCs w:val="22"/>
          <w:lang w:val="es-CL" w:eastAsia="es-CL"/>
        </w:rPr>
        <w:t>.</w:t>
      </w:r>
    </w:p>
    <w:p w:rsidR="00596F98" w:rsidRDefault="00596F98" w:rsidP="00596F98">
      <w:pPr>
        <w:autoSpaceDE w:val="0"/>
        <w:autoSpaceDN w:val="0"/>
        <w:adjustRightInd w:val="0"/>
        <w:jc w:val="both"/>
        <w:rPr>
          <w:rFonts w:ascii="Arial" w:hAnsi="Arial" w:cs="Arial"/>
          <w:sz w:val="22"/>
          <w:szCs w:val="22"/>
          <w:lang w:val="es-CL" w:eastAsia="es-CL"/>
        </w:rPr>
      </w:pPr>
    </w:p>
    <w:p w:rsidR="00315326" w:rsidRPr="00252C1F" w:rsidRDefault="00315326" w:rsidP="00596F98">
      <w:pPr>
        <w:autoSpaceDE w:val="0"/>
        <w:autoSpaceDN w:val="0"/>
        <w:adjustRightInd w:val="0"/>
        <w:jc w:val="both"/>
        <w:rPr>
          <w:rFonts w:ascii="Arial" w:hAnsi="Arial" w:cs="Arial"/>
          <w:sz w:val="22"/>
          <w:szCs w:val="22"/>
          <w:lang w:val="es-CL" w:eastAsia="es-CL"/>
        </w:rPr>
      </w:pPr>
    </w:p>
    <w:p w:rsidR="00596F98" w:rsidRPr="00252C1F" w:rsidRDefault="005D2FDD" w:rsidP="00596F98">
      <w:pPr>
        <w:autoSpaceDE w:val="0"/>
        <w:autoSpaceDN w:val="0"/>
        <w:adjustRightInd w:val="0"/>
        <w:jc w:val="both"/>
        <w:rPr>
          <w:rFonts w:ascii="Arial" w:hAnsi="Arial" w:cs="Arial"/>
          <w:b/>
          <w:sz w:val="22"/>
          <w:szCs w:val="22"/>
          <w:lang w:val="es-CL" w:eastAsia="es-CL"/>
        </w:rPr>
      </w:pPr>
      <w:r w:rsidRPr="00252C1F">
        <w:rPr>
          <w:rFonts w:ascii="Arial" w:hAnsi="Arial" w:cs="Arial"/>
          <w:b/>
          <w:sz w:val="22"/>
          <w:szCs w:val="22"/>
          <w:lang w:val="es-CL" w:eastAsia="es-CL"/>
        </w:rPr>
        <w:t>(1.</w:t>
      </w:r>
      <w:r w:rsidR="00F37B89" w:rsidRPr="00252C1F">
        <w:rPr>
          <w:rFonts w:ascii="Arial" w:hAnsi="Arial" w:cs="Arial"/>
          <w:b/>
          <w:sz w:val="22"/>
          <w:szCs w:val="22"/>
          <w:lang w:val="es-CL" w:eastAsia="es-CL"/>
        </w:rPr>
        <w:t>4</w:t>
      </w:r>
      <w:r w:rsidR="003A6D0B">
        <w:rPr>
          <w:rFonts w:ascii="Arial" w:hAnsi="Arial" w:cs="Arial"/>
          <w:b/>
          <w:sz w:val="22"/>
          <w:szCs w:val="22"/>
          <w:lang w:val="es-CL" w:eastAsia="es-CL"/>
        </w:rPr>
        <w:t>.</w:t>
      </w:r>
      <w:r w:rsidRPr="00252C1F">
        <w:rPr>
          <w:rFonts w:ascii="Arial" w:hAnsi="Arial" w:cs="Arial"/>
          <w:b/>
          <w:sz w:val="22"/>
          <w:szCs w:val="22"/>
          <w:lang w:val="es-CL" w:eastAsia="es-CL"/>
        </w:rPr>
        <w:t>)</w:t>
      </w:r>
      <w:r w:rsidR="00596F98" w:rsidRPr="00252C1F">
        <w:rPr>
          <w:rFonts w:ascii="Arial" w:hAnsi="Arial" w:cs="Arial"/>
          <w:b/>
          <w:sz w:val="22"/>
          <w:szCs w:val="22"/>
          <w:lang w:val="es-CL" w:eastAsia="es-CL"/>
        </w:rPr>
        <w:t xml:space="preserve"> Normas aplicables a los contribuyentes que ejerzan la opción</w:t>
      </w:r>
      <w:r w:rsidR="00E41942" w:rsidRPr="00252C1F">
        <w:rPr>
          <w:rFonts w:ascii="Arial" w:hAnsi="Arial" w:cs="Arial"/>
          <w:b/>
          <w:sz w:val="22"/>
          <w:szCs w:val="22"/>
          <w:lang w:val="es-CL" w:eastAsia="es-CL"/>
        </w:rPr>
        <w:t>.</w:t>
      </w:r>
    </w:p>
    <w:p w:rsidR="00E41942" w:rsidRPr="00252C1F" w:rsidRDefault="00E41942" w:rsidP="00596F98">
      <w:pPr>
        <w:autoSpaceDE w:val="0"/>
        <w:autoSpaceDN w:val="0"/>
        <w:adjustRightInd w:val="0"/>
        <w:jc w:val="both"/>
        <w:rPr>
          <w:rFonts w:ascii="Arial" w:hAnsi="Arial" w:cs="Arial"/>
          <w:b/>
          <w:sz w:val="22"/>
          <w:szCs w:val="22"/>
          <w:lang w:val="es-CL" w:eastAsia="es-CL"/>
        </w:rPr>
      </w:pPr>
    </w:p>
    <w:p w:rsidR="003F2D8E" w:rsidRPr="00252C1F" w:rsidRDefault="008865EF" w:rsidP="00596F98">
      <w:pPr>
        <w:autoSpaceDE w:val="0"/>
        <w:autoSpaceDN w:val="0"/>
        <w:adjustRightInd w:val="0"/>
        <w:jc w:val="both"/>
        <w:rPr>
          <w:rFonts w:ascii="Arial" w:hAnsi="Arial" w:cs="Arial"/>
          <w:sz w:val="22"/>
          <w:szCs w:val="22"/>
          <w:lang w:val="es-CL" w:eastAsia="es-CL"/>
        </w:rPr>
      </w:pPr>
      <w:r w:rsidRPr="00252C1F">
        <w:rPr>
          <w:rFonts w:ascii="Arial" w:hAnsi="Arial" w:cs="Arial"/>
          <w:sz w:val="22"/>
          <w:szCs w:val="22"/>
          <w:lang w:val="es-CL" w:eastAsia="es-CL"/>
        </w:rPr>
        <w:t>P</w:t>
      </w:r>
      <w:r w:rsidR="003F2D8E" w:rsidRPr="00252C1F">
        <w:rPr>
          <w:rFonts w:ascii="Arial" w:hAnsi="Arial" w:cs="Arial"/>
          <w:sz w:val="22"/>
          <w:szCs w:val="22"/>
          <w:lang w:val="es-CL" w:eastAsia="es-CL"/>
        </w:rPr>
        <w:t xml:space="preserve">ara efectos de determinar el </w:t>
      </w:r>
      <w:r w:rsidR="003F2D8E" w:rsidRPr="002F5D50">
        <w:rPr>
          <w:rFonts w:ascii="Arial" w:hAnsi="Arial" w:cs="Arial"/>
          <w:b/>
          <w:sz w:val="22"/>
          <w:szCs w:val="22"/>
          <w:lang w:val="es-CL" w:eastAsia="es-CL"/>
        </w:rPr>
        <w:t>I</w:t>
      </w:r>
      <w:r w:rsidR="00C946A4" w:rsidRPr="002F5D50">
        <w:rPr>
          <w:rFonts w:ascii="Arial" w:hAnsi="Arial" w:cs="Arial"/>
          <w:b/>
          <w:sz w:val="22"/>
          <w:szCs w:val="22"/>
          <w:lang w:val="es-CL" w:eastAsia="es-CL"/>
        </w:rPr>
        <w:t>EM</w:t>
      </w:r>
      <w:r w:rsidR="003F2D8E" w:rsidRPr="00252C1F">
        <w:rPr>
          <w:rFonts w:ascii="Arial" w:hAnsi="Arial" w:cs="Arial"/>
          <w:sz w:val="22"/>
          <w:szCs w:val="22"/>
          <w:lang w:val="es-CL" w:eastAsia="es-CL"/>
        </w:rPr>
        <w:t xml:space="preserve"> que les afecte, </w:t>
      </w:r>
      <w:r w:rsidR="00773529" w:rsidRPr="00252C1F">
        <w:rPr>
          <w:rFonts w:ascii="Arial" w:hAnsi="Arial" w:cs="Arial"/>
          <w:sz w:val="22"/>
          <w:szCs w:val="22"/>
          <w:lang w:val="es-CL" w:eastAsia="es-CL"/>
        </w:rPr>
        <w:t>la Ley distingue los siguientes períodos:</w:t>
      </w:r>
      <w:r w:rsidR="003F2D8E" w:rsidRPr="00252C1F">
        <w:rPr>
          <w:rFonts w:ascii="Arial" w:hAnsi="Arial" w:cs="Arial"/>
          <w:sz w:val="22"/>
          <w:szCs w:val="22"/>
          <w:lang w:val="es-CL" w:eastAsia="es-CL"/>
        </w:rPr>
        <w:t xml:space="preserve"> </w:t>
      </w:r>
    </w:p>
    <w:p w:rsidR="00773529" w:rsidRPr="00252C1F" w:rsidRDefault="00773529" w:rsidP="00596F98">
      <w:pPr>
        <w:autoSpaceDE w:val="0"/>
        <w:autoSpaceDN w:val="0"/>
        <w:adjustRightInd w:val="0"/>
        <w:jc w:val="both"/>
        <w:rPr>
          <w:rFonts w:ascii="Arial" w:hAnsi="Arial" w:cs="Arial"/>
          <w:sz w:val="22"/>
          <w:szCs w:val="22"/>
          <w:lang w:val="es-CL" w:eastAsia="es-CL"/>
        </w:rPr>
      </w:pPr>
    </w:p>
    <w:p w:rsidR="00242BDE" w:rsidRDefault="00773529" w:rsidP="00C7245D">
      <w:pPr>
        <w:pStyle w:val="Prrafodelista"/>
        <w:numPr>
          <w:ilvl w:val="0"/>
          <w:numId w:val="45"/>
        </w:numPr>
        <w:autoSpaceDE w:val="0"/>
        <w:autoSpaceDN w:val="0"/>
        <w:adjustRightInd w:val="0"/>
        <w:ind w:right="-142"/>
        <w:jc w:val="both"/>
        <w:rPr>
          <w:rFonts w:ascii="Arial" w:hAnsi="Arial" w:cs="Arial"/>
          <w:sz w:val="22"/>
          <w:szCs w:val="22"/>
          <w:lang w:val="es-CL" w:eastAsia="es-CL"/>
        </w:rPr>
      </w:pPr>
      <w:r w:rsidRPr="00242BDE">
        <w:rPr>
          <w:rFonts w:ascii="Arial" w:hAnsi="Arial" w:cs="Arial"/>
          <w:sz w:val="22"/>
          <w:szCs w:val="22"/>
          <w:lang w:val="es-CL" w:eastAsia="es-CL"/>
        </w:rPr>
        <w:t xml:space="preserve">Ejercicios correspondientes a los </w:t>
      </w:r>
      <w:r w:rsidR="00281FC5" w:rsidRPr="00242BDE">
        <w:rPr>
          <w:rFonts w:ascii="Arial" w:hAnsi="Arial" w:cs="Arial"/>
          <w:b/>
          <w:sz w:val="22"/>
          <w:szCs w:val="22"/>
          <w:lang w:val="es-CL" w:eastAsia="es-CL"/>
        </w:rPr>
        <w:t>AC</w:t>
      </w:r>
      <w:r w:rsidRPr="00242BDE">
        <w:rPr>
          <w:rFonts w:ascii="Arial" w:hAnsi="Arial" w:cs="Arial"/>
          <w:sz w:val="22"/>
          <w:szCs w:val="22"/>
          <w:lang w:val="es-CL" w:eastAsia="es-CL"/>
        </w:rPr>
        <w:t xml:space="preserve"> 2010, 2011 y 2012.</w:t>
      </w:r>
    </w:p>
    <w:p w:rsidR="00242BDE" w:rsidRDefault="00B436E4" w:rsidP="00C7245D">
      <w:pPr>
        <w:pStyle w:val="Prrafodelista"/>
        <w:numPr>
          <w:ilvl w:val="0"/>
          <w:numId w:val="45"/>
        </w:numPr>
        <w:autoSpaceDE w:val="0"/>
        <w:autoSpaceDN w:val="0"/>
        <w:adjustRightInd w:val="0"/>
        <w:ind w:right="-142"/>
        <w:jc w:val="both"/>
        <w:rPr>
          <w:rFonts w:ascii="Arial" w:hAnsi="Arial" w:cs="Arial"/>
          <w:sz w:val="22"/>
          <w:szCs w:val="22"/>
          <w:lang w:val="es-CL" w:eastAsia="es-CL"/>
        </w:rPr>
      </w:pPr>
      <w:r w:rsidRPr="00242BDE">
        <w:rPr>
          <w:rFonts w:ascii="Arial" w:hAnsi="Arial" w:cs="Arial"/>
          <w:sz w:val="22"/>
          <w:szCs w:val="22"/>
          <w:lang w:val="es-CL" w:eastAsia="es-CL"/>
        </w:rPr>
        <w:t xml:space="preserve">Períodos comprendidos entre el </w:t>
      </w:r>
      <w:r w:rsidR="00281FC5" w:rsidRPr="00242BDE">
        <w:rPr>
          <w:rFonts w:ascii="Arial" w:hAnsi="Arial" w:cs="Arial"/>
          <w:b/>
          <w:sz w:val="22"/>
          <w:szCs w:val="22"/>
          <w:lang w:val="es-CL" w:eastAsia="es-CL"/>
        </w:rPr>
        <w:t>AC</w:t>
      </w:r>
      <w:r w:rsidR="00773529" w:rsidRPr="00242BDE">
        <w:rPr>
          <w:rFonts w:ascii="Arial" w:hAnsi="Arial" w:cs="Arial"/>
          <w:sz w:val="22"/>
          <w:szCs w:val="22"/>
          <w:lang w:val="es-CL" w:eastAsia="es-CL"/>
        </w:rPr>
        <w:t xml:space="preserve"> 2013, inclusive, y hasta el término del régimen de invariabilidad </w:t>
      </w:r>
      <w:r w:rsidR="009878C4" w:rsidRPr="00242BDE">
        <w:rPr>
          <w:rFonts w:ascii="Arial" w:hAnsi="Arial" w:cs="Arial"/>
          <w:sz w:val="22"/>
          <w:szCs w:val="22"/>
          <w:lang w:val="es-CL" w:eastAsia="es-CL"/>
        </w:rPr>
        <w:t>de acuerdo a</w:t>
      </w:r>
      <w:r w:rsidR="00773529" w:rsidRPr="00242BDE">
        <w:rPr>
          <w:rFonts w:ascii="Arial" w:hAnsi="Arial" w:cs="Arial"/>
          <w:sz w:val="22"/>
          <w:szCs w:val="22"/>
          <w:lang w:val="es-CL" w:eastAsia="es-CL"/>
        </w:rPr>
        <w:t xml:space="preserve"> los </w:t>
      </w:r>
      <w:r w:rsidR="00517A04" w:rsidRPr="00242BDE">
        <w:rPr>
          <w:rFonts w:ascii="Arial" w:hAnsi="Arial" w:cs="Arial"/>
          <w:sz w:val="22"/>
          <w:szCs w:val="22"/>
          <w:lang w:val="es-CL" w:eastAsia="es-CL"/>
        </w:rPr>
        <w:t xml:space="preserve">respectivos </w:t>
      </w:r>
      <w:r w:rsidR="009878C4" w:rsidRPr="00242BDE">
        <w:rPr>
          <w:rFonts w:ascii="Arial" w:hAnsi="Arial" w:cs="Arial"/>
          <w:sz w:val="22"/>
          <w:szCs w:val="22"/>
          <w:lang w:val="es-CL" w:eastAsia="es-CL"/>
        </w:rPr>
        <w:t xml:space="preserve">contratos </w:t>
      </w:r>
      <w:r w:rsidR="00773529" w:rsidRPr="00242BDE">
        <w:rPr>
          <w:rFonts w:ascii="Arial" w:hAnsi="Arial" w:cs="Arial"/>
          <w:sz w:val="22"/>
          <w:szCs w:val="22"/>
          <w:lang w:val="es-CL" w:eastAsia="es-CL"/>
        </w:rPr>
        <w:t xml:space="preserve"> vigentes.</w:t>
      </w:r>
    </w:p>
    <w:p w:rsidR="00242BDE" w:rsidRPr="00242BDE" w:rsidRDefault="00773529" w:rsidP="00C7245D">
      <w:pPr>
        <w:pStyle w:val="Prrafodelista"/>
        <w:numPr>
          <w:ilvl w:val="0"/>
          <w:numId w:val="45"/>
        </w:numPr>
        <w:autoSpaceDE w:val="0"/>
        <w:autoSpaceDN w:val="0"/>
        <w:adjustRightInd w:val="0"/>
        <w:ind w:right="-93"/>
        <w:jc w:val="both"/>
        <w:rPr>
          <w:rFonts w:ascii="Arial" w:eastAsia="Calibri" w:hAnsi="Arial" w:cs="Arial"/>
          <w:sz w:val="22"/>
          <w:szCs w:val="22"/>
          <w:lang w:val="es-CL" w:eastAsia="es-CL"/>
        </w:rPr>
      </w:pPr>
      <w:r w:rsidRPr="00242BDE">
        <w:rPr>
          <w:rFonts w:ascii="Arial" w:hAnsi="Arial" w:cs="Arial"/>
          <w:sz w:val="22"/>
          <w:szCs w:val="22"/>
          <w:lang w:val="es-CL" w:eastAsia="es-CL"/>
        </w:rPr>
        <w:t>Ampliación del plazo de invariabilidad señalado en los respectivos contratos vigentes.</w:t>
      </w:r>
    </w:p>
    <w:p w:rsidR="00773529" w:rsidRPr="00242BDE" w:rsidRDefault="001533B0" w:rsidP="00C7245D">
      <w:pPr>
        <w:pStyle w:val="Prrafodelista"/>
        <w:numPr>
          <w:ilvl w:val="0"/>
          <w:numId w:val="45"/>
        </w:numPr>
        <w:autoSpaceDE w:val="0"/>
        <w:autoSpaceDN w:val="0"/>
        <w:adjustRightInd w:val="0"/>
        <w:ind w:right="-93"/>
        <w:jc w:val="both"/>
        <w:rPr>
          <w:rFonts w:ascii="Arial" w:eastAsia="Calibri" w:hAnsi="Arial" w:cs="Arial"/>
          <w:sz w:val="22"/>
          <w:szCs w:val="22"/>
          <w:lang w:val="es-CL" w:eastAsia="es-CL"/>
        </w:rPr>
      </w:pPr>
      <w:r w:rsidRPr="00242BDE">
        <w:rPr>
          <w:rFonts w:ascii="Arial" w:eastAsia="Calibri" w:hAnsi="Arial" w:cs="Arial"/>
          <w:sz w:val="22"/>
          <w:szCs w:val="22"/>
          <w:lang w:val="es-CL" w:eastAsia="es-CL"/>
        </w:rPr>
        <w:t>Régimen vigente con posterioridad</w:t>
      </w:r>
      <w:r w:rsidR="00773529" w:rsidRPr="00242BDE">
        <w:rPr>
          <w:rFonts w:ascii="Arial" w:eastAsia="Calibri" w:hAnsi="Arial" w:cs="Arial"/>
          <w:sz w:val="22"/>
          <w:szCs w:val="22"/>
          <w:lang w:val="es-CL" w:eastAsia="es-CL"/>
        </w:rPr>
        <w:t xml:space="preserve"> al </w:t>
      </w:r>
      <w:r w:rsidRPr="00242BDE">
        <w:rPr>
          <w:rFonts w:ascii="Arial" w:eastAsia="Calibri" w:hAnsi="Arial" w:cs="Arial"/>
          <w:sz w:val="22"/>
          <w:szCs w:val="22"/>
          <w:lang w:val="es-CL" w:eastAsia="es-CL"/>
        </w:rPr>
        <w:t>vencimiento</w:t>
      </w:r>
      <w:r w:rsidR="00773529" w:rsidRPr="00242BDE">
        <w:rPr>
          <w:rFonts w:ascii="Arial" w:eastAsia="Calibri" w:hAnsi="Arial" w:cs="Arial"/>
          <w:sz w:val="22"/>
          <w:szCs w:val="22"/>
          <w:lang w:val="es-CL" w:eastAsia="es-CL"/>
        </w:rPr>
        <w:t xml:space="preserve"> del plazo ampliado señalado en la letra </w:t>
      </w:r>
      <w:r w:rsidR="009878C4" w:rsidRPr="00242BDE">
        <w:rPr>
          <w:rFonts w:ascii="Arial" w:eastAsia="Calibri" w:hAnsi="Arial" w:cs="Arial"/>
          <w:b/>
          <w:sz w:val="22"/>
          <w:szCs w:val="22"/>
          <w:lang w:val="es-CL" w:eastAsia="es-CL"/>
        </w:rPr>
        <w:t>c</w:t>
      </w:r>
      <w:r w:rsidR="00773529" w:rsidRPr="00242BDE">
        <w:rPr>
          <w:rFonts w:ascii="Arial" w:eastAsia="Calibri" w:hAnsi="Arial" w:cs="Arial"/>
          <w:sz w:val="22"/>
          <w:szCs w:val="22"/>
          <w:lang w:val="es-CL" w:eastAsia="es-CL"/>
        </w:rPr>
        <w:t>.</w:t>
      </w:r>
    </w:p>
    <w:p w:rsidR="00773529" w:rsidRPr="00252C1F" w:rsidRDefault="00773529" w:rsidP="00596F98">
      <w:pPr>
        <w:autoSpaceDE w:val="0"/>
        <w:autoSpaceDN w:val="0"/>
        <w:adjustRightInd w:val="0"/>
        <w:jc w:val="both"/>
        <w:rPr>
          <w:rFonts w:ascii="Arial" w:hAnsi="Arial" w:cs="Arial"/>
          <w:b/>
          <w:sz w:val="22"/>
          <w:szCs w:val="22"/>
          <w:lang w:val="es-CL" w:eastAsia="es-CL"/>
        </w:rPr>
      </w:pPr>
    </w:p>
    <w:p w:rsidR="00596F98" w:rsidRPr="00252C1F" w:rsidRDefault="00FD4B8E" w:rsidP="00596F98">
      <w:pPr>
        <w:autoSpaceDE w:val="0"/>
        <w:autoSpaceDN w:val="0"/>
        <w:adjustRightInd w:val="0"/>
        <w:jc w:val="both"/>
        <w:rPr>
          <w:rFonts w:ascii="Arial" w:hAnsi="Arial" w:cs="Arial"/>
          <w:sz w:val="22"/>
          <w:szCs w:val="22"/>
          <w:lang w:val="es-CL" w:eastAsia="es-CL"/>
        </w:rPr>
      </w:pPr>
      <w:r w:rsidRPr="00252C1F">
        <w:rPr>
          <w:rFonts w:ascii="Arial" w:hAnsi="Arial" w:cs="Arial"/>
          <w:sz w:val="22"/>
          <w:szCs w:val="22"/>
          <w:lang w:val="es-CL" w:eastAsia="es-CL"/>
        </w:rPr>
        <w:t xml:space="preserve">A continuación, se analizarán </w:t>
      </w:r>
      <w:r w:rsidR="0000005E" w:rsidRPr="00252C1F">
        <w:rPr>
          <w:rFonts w:ascii="Arial" w:hAnsi="Arial" w:cs="Arial"/>
          <w:sz w:val="22"/>
          <w:szCs w:val="22"/>
          <w:lang w:val="es-CL" w:eastAsia="es-CL"/>
        </w:rPr>
        <w:t xml:space="preserve">cada una de </w:t>
      </w:r>
      <w:r w:rsidR="00315326">
        <w:rPr>
          <w:rFonts w:ascii="Arial" w:hAnsi="Arial" w:cs="Arial"/>
          <w:sz w:val="22"/>
          <w:szCs w:val="22"/>
          <w:lang w:val="es-CL" w:eastAsia="es-CL"/>
        </w:rPr>
        <w:t>estas situaciones:</w:t>
      </w:r>
    </w:p>
    <w:p w:rsidR="00FD4B8E" w:rsidRDefault="00FD4B8E" w:rsidP="00596F98">
      <w:pPr>
        <w:autoSpaceDE w:val="0"/>
        <w:autoSpaceDN w:val="0"/>
        <w:adjustRightInd w:val="0"/>
        <w:jc w:val="both"/>
        <w:rPr>
          <w:rFonts w:ascii="Arial" w:hAnsi="Arial" w:cs="Arial"/>
          <w:sz w:val="22"/>
          <w:szCs w:val="22"/>
          <w:lang w:val="es-CL" w:eastAsia="es-CL"/>
        </w:rPr>
      </w:pPr>
    </w:p>
    <w:p w:rsidR="00315326" w:rsidRDefault="00315326" w:rsidP="00596F98">
      <w:pPr>
        <w:autoSpaceDE w:val="0"/>
        <w:autoSpaceDN w:val="0"/>
        <w:adjustRightInd w:val="0"/>
        <w:jc w:val="both"/>
        <w:rPr>
          <w:rFonts w:ascii="Arial" w:hAnsi="Arial" w:cs="Arial"/>
          <w:sz w:val="22"/>
          <w:szCs w:val="22"/>
          <w:lang w:val="es-CL" w:eastAsia="es-CL"/>
        </w:rPr>
      </w:pPr>
    </w:p>
    <w:p w:rsidR="00315326" w:rsidRPr="00252C1F" w:rsidRDefault="00315326" w:rsidP="00596F98">
      <w:pPr>
        <w:autoSpaceDE w:val="0"/>
        <w:autoSpaceDN w:val="0"/>
        <w:adjustRightInd w:val="0"/>
        <w:jc w:val="both"/>
        <w:rPr>
          <w:rFonts w:ascii="Arial" w:hAnsi="Arial" w:cs="Arial"/>
          <w:sz w:val="22"/>
          <w:szCs w:val="22"/>
          <w:lang w:val="es-CL" w:eastAsia="es-CL"/>
        </w:rPr>
      </w:pPr>
    </w:p>
    <w:p w:rsidR="00596F98" w:rsidRPr="00281FC5" w:rsidRDefault="00596F98" w:rsidP="00CF6808">
      <w:pPr>
        <w:numPr>
          <w:ilvl w:val="0"/>
          <w:numId w:val="33"/>
        </w:numPr>
        <w:autoSpaceDE w:val="0"/>
        <w:autoSpaceDN w:val="0"/>
        <w:adjustRightInd w:val="0"/>
        <w:jc w:val="both"/>
        <w:rPr>
          <w:rFonts w:ascii="Arial" w:hAnsi="Arial" w:cs="Arial"/>
          <w:b/>
          <w:sz w:val="22"/>
          <w:szCs w:val="22"/>
          <w:lang w:val="es-CL" w:eastAsia="es-CL"/>
        </w:rPr>
      </w:pPr>
      <w:r w:rsidRPr="00281FC5">
        <w:rPr>
          <w:rFonts w:ascii="Arial" w:hAnsi="Arial" w:cs="Arial"/>
          <w:b/>
          <w:sz w:val="22"/>
          <w:szCs w:val="22"/>
          <w:lang w:val="es-CL" w:eastAsia="es-CL"/>
        </w:rPr>
        <w:t xml:space="preserve">Ejercicios correspondientes a los </w:t>
      </w:r>
      <w:r w:rsidR="00BA166F">
        <w:rPr>
          <w:rFonts w:ascii="Arial" w:hAnsi="Arial" w:cs="Arial"/>
          <w:b/>
          <w:sz w:val="22"/>
          <w:szCs w:val="22"/>
          <w:lang w:val="es-CL" w:eastAsia="es-CL"/>
        </w:rPr>
        <w:t>AC</w:t>
      </w:r>
      <w:r w:rsidRPr="00281FC5">
        <w:rPr>
          <w:rFonts w:ascii="Arial" w:hAnsi="Arial" w:cs="Arial"/>
          <w:b/>
          <w:sz w:val="22"/>
          <w:szCs w:val="22"/>
          <w:lang w:val="es-CL" w:eastAsia="es-CL"/>
        </w:rPr>
        <w:t xml:space="preserve"> 2010, 2011 y 2012.</w:t>
      </w:r>
    </w:p>
    <w:p w:rsidR="0000005E" w:rsidRPr="00252C1F" w:rsidRDefault="0000005E" w:rsidP="00596F98">
      <w:pPr>
        <w:autoSpaceDE w:val="0"/>
        <w:autoSpaceDN w:val="0"/>
        <w:adjustRightInd w:val="0"/>
        <w:jc w:val="both"/>
        <w:rPr>
          <w:rFonts w:ascii="Arial" w:hAnsi="Arial" w:cs="Arial"/>
          <w:sz w:val="22"/>
          <w:szCs w:val="22"/>
          <w:lang w:val="es-CL" w:eastAsia="es-CL"/>
        </w:rPr>
      </w:pPr>
    </w:p>
    <w:p w:rsidR="00596F98" w:rsidRPr="00252C1F" w:rsidRDefault="00596F98" w:rsidP="0000005E">
      <w:pPr>
        <w:autoSpaceDE w:val="0"/>
        <w:autoSpaceDN w:val="0"/>
        <w:adjustRightInd w:val="0"/>
        <w:jc w:val="both"/>
        <w:rPr>
          <w:rFonts w:ascii="Arial" w:hAnsi="Arial" w:cs="Arial"/>
          <w:sz w:val="22"/>
          <w:szCs w:val="22"/>
          <w:lang w:val="es-CL" w:eastAsia="es-CL"/>
        </w:rPr>
      </w:pPr>
      <w:r w:rsidRPr="00252C1F">
        <w:rPr>
          <w:rFonts w:ascii="Arial" w:hAnsi="Arial" w:cs="Arial"/>
          <w:sz w:val="22"/>
          <w:szCs w:val="22"/>
          <w:lang w:val="es-CL" w:eastAsia="es-CL"/>
        </w:rPr>
        <w:t xml:space="preserve">Durante los </w:t>
      </w:r>
      <w:r w:rsidR="00BA166F" w:rsidRPr="009E672E">
        <w:rPr>
          <w:rFonts w:ascii="Arial" w:hAnsi="Arial" w:cs="Arial"/>
          <w:b/>
          <w:sz w:val="22"/>
          <w:szCs w:val="22"/>
          <w:lang w:val="es-CL" w:eastAsia="es-CL"/>
        </w:rPr>
        <w:t>AC</w:t>
      </w:r>
      <w:r w:rsidRPr="00252C1F">
        <w:rPr>
          <w:rFonts w:ascii="Arial" w:hAnsi="Arial" w:cs="Arial"/>
          <w:sz w:val="22"/>
          <w:szCs w:val="22"/>
          <w:lang w:val="es-CL" w:eastAsia="es-CL"/>
        </w:rPr>
        <w:t xml:space="preserve"> 2010, 2011 y 2012, </w:t>
      </w:r>
      <w:r w:rsidR="0000005E" w:rsidRPr="00252C1F">
        <w:rPr>
          <w:rFonts w:ascii="Arial" w:hAnsi="Arial" w:cs="Arial"/>
          <w:sz w:val="22"/>
          <w:szCs w:val="22"/>
          <w:lang w:val="es-CL" w:eastAsia="es-CL"/>
        </w:rPr>
        <w:t xml:space="preserve">el </w:t>
      </w:r>
      <w:r w:rsidR="0000005E" w:rsidRPr="009E672E">
        <w:rPr>
          <w:rFonts w:ascii="Arial" w:hAnsi="Arial" w:cs="Arial"/>
          <w:b/>
          <w:sz w:val="22"/>
          <w:szCs w:val="22"/>
          <w:lang w:val="es-CL" w:eastAsia="es-CL"/>
        </w:rPr>
        <w:t>IE</w:t>
      </w:r>
      <w:r w:rsidR="008B5896" w:rsidRPr="009E672E">
        <w:rPr>
          <w:rFonts w:ascii="Arial" w:hAnsi="Arial" w:cs="Arial"/>
          <w:b/>
          <w:sz w:val="22"/>
          <w:szCs w:val="22"/>
          <w:lang w:val="es-CL" w:eastAsia="es-CL"/>
        </w:rPr>
        <w:t>M</w:t>
      </w:r>
      <w:r w:rsidR="0000005E" w:rsidRPr="00252C1F">
        <w:rPr>
          <w:rFonts w:ascii="Arial" w:hAnsi="Arial" w:cs="Arial"/>
          <w:sz w:val="22"/>
          <w:szCs w:val="22"/>
          <w:lang w:val="es-CL" w:eastAsia="es-CL"/>
        </w:rPr>
        <w:t xml:space="preserve"> de los contribuyentes que ejerzan la opción an</w:t>
      </w:r>
      <w:r w:rsidR="00242BDE">
        <w:rPr>
          <w:rFonts w:ascii="Arial" w:hAnsi="Arial" w:cs="Arial"/>
          <w:sz w:val="22"/>
          <w:szCs w:val="22"/>
          <w:lang w:val="es-CL" w:eastAsia="es-CL"/>
        </w:rPr>
        <w:t>alizada</w:t>
      </w:r>
      <w:r w:rsidR="0000005E" w:rsidRPr="00252C1F">
        <w:rPr>
          <w:rFonts w:ascii="Arial" w:hAnsi="Arial" w:cs="Arial"/>
          <w:sz w:val="22"/>
          <w:szCs w:val="22"/>
          <w:lang w:val="es-CL" w:eastAsia="es-CL"/>
        </w:rPr>
        <w:t>, se aplicará conform</w:t>
      </w:r>
      <w:r w:rsidR="00242BDE">
        <w:rPr>
          <w:rFonts w:ascii="Arial" w:hAnsi="Arial" w:cs="Arial"/>
          <w:sz w:val="22"/>
          <w:szCs w:val="22"/>
          <w:lang w:val="es-CL" w:eastAsia="es-CL"/>
        </w:rPr>
        <w:t>e</w:t>
      </w:r>
      <w:r w:rsidR="0000005E" w:rsidRPr="00252C1F">
        <w:rPr>
          <w:rFonts w:ascii="Arial" w:hAnsi="Arial" w:cs="Arial"/>
          <w:sz w:val="22"/>
          <w:szCs w:val="22"/>
          <w:lang w:val="es-CL" w:eastAsia="es-CL"/>
        </w:rPr>
        <w:t xml:space="preserve"> </w:t>
      </w:r>
      <w:r w:rsidR="00242BDE">
        <w:rPr>
          <w:rFonts w:ascii="Arial" w:hAnsi="Arial" w:cs="Arial"/>
          <w:sz w:val="22"/>
          <w:szCs w:val="22"/>
          <w:lang w:val="es-CL" w:eastAsia="es-CL"/>
        </w:rPr>
        <w:t>a</w:t>
      </w:r>
      <w:r w:rsidR="0000005E" w:rsidRPr="00252C1F">
        <w:rPr>
          <w:rFonts w:ascii="Arial" w:hAnsi="Arial" w:cs="Arial"/>
          <w:sz w:val="22"/>
          <w:szCs w:val="22"/>
          <w:lang w:val="es-CL" w:eastAsia="es-CL"/>
        </w:rPr>
        <w:t xml:space="preserve"> las reglas establecidas en los artículos 64 bis y 64 ter de la LIR, cuyas instrucciones </w:t>
      </w:r>
      <w:r w:rsidR="008B5896" w:rsidRPr="00252C1F">
        <w:rPr>
          <w:rFonts w:ascii="Arial" w:hAnsi="Arial" w:cs="Arial"/>
          <w:sz w:val="22"/>
          <w:szCs w:val="22"/>
          <w:lang w:val="es-CL" w:eastAsia="es-CL"/>
        </w:rPr>
        <w:t>se imparten</w:t>
      </w:r>
      <w:r w:rsidR="0000005E" w:rsidRPr="00252C1F">
        <w:rPr>
          <w:rFonts w:ascii="Arial" w:hAnsi="Arial" w:cs="Arial"/>
          <w:sz w:val="22"/>
          <w:szCs w:val="22"/>
          <w:lang w:val="es-CL" w:eastAsia="es-CL"/>
        </w:rPr>
        <w:t xml:space="preserve"> en el </w:t>
      </w:r>
      <w:r w:rsidR="0000005E" w:rsidRPr="009E672E">
        <w:rPr>
          <w:rFonts w:ascii="Arial" w:hAnsi="Arial" w:cs="Arial"/>
          <w:b/>
          <w:sz w:val="22"/>
          <w:szCs w:val="22"/>
          <w:lang w:val="es-CL" w:eastAsia="es-CL"/>
        </w:rPr>
        <w:t xml:space="preserve">Capítulo </w:t>
      </w:r>
      <w:r w:rsidR="00242BDE">
        <w:rPr>
          <w:rFonts w:ascii="Arial" w:hAnsi="Arial" w:cs="Arial"/>
          <w:b/>
          <w:sz w:val="22"/>
          <w:szCs w:val="22"/>
          <w:lang w:val="es-CL" w:eastAsia="es-CL"/>
        </w:rPr>
        <w:t>I</w:t>
      </w:r>
      <w:r w:rsidR="0000005E" w:rsidRPr="009E672E">
        <w:rPr>
          <w:rFonts w:ascii="Arial" w:hAnsi="Arial" w:cs="Arial"/>
          <w:b/>
          <w:sz w:val="22"/>
          <w:szCs w:val="22"/>
          <w:lang w:val="es-CL" w:eastAsia="es-CL"/>
        </w:rPr>
        <w:t>II.1</w:t>
      </w:r>
      <w:r w:rsidR="0000005E" w:rsidRPr="00252C1F">
        <w:rPr>
          <w:rFonts w:ascii="Arial" w:hAnsi="Arial" w:cs="Arial"/>
          <w:sz w:val="22"/>
          <w:szCs w:val="22"/>
          <w:lang w:val="es-CL" w:eastAsia="es-CL"/>
        </w:rPr>
        <w:t xml:space="preserve"> anterior. No obstante, </w:t>
      </w:r>
      <w:r w:rsidRPr="00252C1F">
        <w:rPr>
          <w:rFonts w:ascii="Arial" w:hAnsi="Arial" w:cs="Arial"/>
          <w:sz w:val="22"/>
          <w:szCs w:val="22"/>
          <w:lang w:val="es-CL" w:eastAsia="es-CL"/>
        </w:rPr>
        <w:t xml:space="preserve">la tasa de impuesto </w:t>
      </w:r>
      <w:r w:rsidR="008B5896" w:rsidRPr="00252C1F">
        <w:rPr>
          <w:rFonts w:ascii="Arial" w:hAnsi="Arial" w:cs="Arial"/>
          <w:sz w:val="22"/>
          <w:szCs w:val="22"/>
          <w:lang w:val="es-CL" w:eastAsia="es-CL"/>
        </w:rPr>
        <w:t xml:space="preserve">determinada considerando el </w:t>
      </w:r>
      <w:r w:rsidR="008B5896" w:rsidRPr="009E672E">
        <w:rPr>
          <w:rFonts w:ascii="Arial" w:hAnsi="Arial" w:cs="Arial"/>
          <w:b/>
          <w:sz w:val="22"/>
          <w:szCs w:val="22"/>
          <w:lang w:val="es-CL" w:eastAsia="es-CL"/>
        </w:rPr>
        <w:t>MOM</w:t>
      </w:r>
      <w:r w:rsidR="008B5896" w:rsidRPr="00252C1F">
        <w:rPr>
          <w:rFonts w:ascii="Arial" w:hAnsi="Arial" w:cs="Arial"/>
          <w:sz w:val="22"/>
          <w:szCs w:val="22"/>
          <w:lang w:val="es-CL" w:eastAsia="es-CL"/>
        </w:rPr>
        <w:t xml:space="preserve"> </w:t>
      </w:r>
      <w:r w:rsidRPr="00252C1F">
        <w:rPr>
          <w:rFonts w:ascii="Arial" w:hAnsi="Arial" w:cs="Arial"/>
          <w:sz w:val="22"/>
          <w:szCs w:val="22"/>
          <w:lang w:val="es-CL" w:eastAsia="es-CL"/>
        </w:rPr>
        <w:t>de</w:t>
      </w:r>
      <w:r w:rsidR="008B5896" w:rsidRPr="00252C1F">
        <w:rPr>
          <w:rFonts w:ascii="Arial" w:hAnsi="Arial" w:cs="Arial"/>
          <w:sz w:val="22"/>
          <w:szCs w:val="22"/>
          <w:lang w:val="es-CL" w:eastAsia="es-CL"/>
        </w:rPr>
        <w:t xml:space="preserve"> cada </w:t>
      </w:r>
      <w:r w:rsidRPr="00252C1F">
        <w:rPr>
          <w:rFonts w:ascii="Arial" w:hAnsi="Arial" w:cs="Arial"/>
          <w:sz w:val="22"/>
          <w:szCs w:val="22"/>
          <w:lang w:val="es-CL" w:eastAsia="es-CL"/>
        </w:rPr>
        <w:t xml:space="preserve"> ejercicio, se aplicará de acuerdo a</w:t>
      </w:r>
      <w:r w:rsidR="001D1233">
        <w:rPr>
          <w:rFonts w:ascii="Arial" w:hAnsi="Arial" w:cs="Arial"/>
          <w:sz w:val="22"/>
          <w:szCs w:val="22"/>
          <w:lang w:val="es-CL" w:eastAsia="es-CL"/>
        </w:rPr>
        <w:t xml:space="preserve"> la escala que establece el mismo artículo 2° transitorio de la Ley 20.469,</w:t>
      </w:r>
      <w:r w:rsidRPr="00252C1F">
        <w:rPr>
          <w:rFonts w:ascii="Arial" w:hAnsi="Arial" w:cs="Arial"/>
          <w:sz w:val="22"/>
          <w:szCs w:val="22"/>
          <w:lang w:val="es-CL" w:eastAsia="es-CL"/>
        </w:rPr>
        <w:t xml:space="preserve"> la</w:t>
      </w:r>
      <w:r w:rsidR="001D1233">
        <w:rPr>
          <w:rFonts w:ascii="Arial" w:hAnsi="Arial" w:cs="Arial"/>
          <w:sz w:val="22"/>
          <w:szCs w:val="22"/>
          <w:lang w:val="es-CL" w:eastAsia="es-CL"/>
        </w:rPr>
        <w:t xml:space="preserve"> que se desarrolla en la</w:t>
      </w:r>
      <w:r w:rsidRPr="00252C1F">
        <w:rPr>
          <w:rFonts w:ascii="Arial" w:hAnsi="Arial" w:cs="Arial"/>
          <w:sz w:val="22"/>
          <w:szCs w:val="22"/>
          <w:lang w:val="es-CL" w:eastAsia="es-CL"/>
        </w:rPr>
        <w:t xml:space="preserve"> tabla </w:t>
      </w:r>
      <w:r w:rsidR="001D1233">
        <w:rPr>
          <w:rFonts w:ascii="Arial" w:hAnsi="Arial" w:cs="Arial"/>
          <w:sz w:val="22"/>
          <w:szCs w:val="22"/>
          <w:lang w:val="es-CL" w:eastAsia="es-CL"/>
        </w:rPr>
        <w:t>del</w:t>
      </w:r>
      <w:r w:rsidR="00242BDE">
        <w:rPr>
          <w:rFonts w:ascii="Arial" w:hAnsi="Arial" w:cs="Arial"/>
          <w:sz w:val="22"/>
          <w:szCs w:val="22"/>
          <w:lang w:val="es-CL" w:eastAsia="es-CL"/>
        </w:rPr>
        <w:t xml:space="preserve"> </w:t>
      </w:r>
      <w:r w:rsidR="00242BDE" w:rsidRPr="00242BDE">
        <w:rPr>
          <w:rFonts w:ascii="Arial" w:hAnsi="Arial" w:cs="Arial"/>
          <w:b/>
          <w:sz w:val="22"/>
          <w:szCs w:val="22"/>
          <w:lang w:val="es-CL" w:eastAsia="es-CL"/>
        </w:rPr>
        <w:t>A</w:t>
      </w:r>
      <w:r w:rsidRPr="00242BDE">
        <w:rPr>
          <w:rFonts w:ascii="Arial" w:hAnsi="Arial" w:cs="Arial"/>
          <w:b/>
          <w:sz w:val="22"/>
          <w:szCs w:val="22"/>
          <w:lang w:val="es-CL" w:eastAsia="es-CL"/>
        </w:rPr>
        <w:t>nexo N°</w:t>
      </w:r>
      <w:r w:rsidR="00242BDE">
        <w:rPr>
          <w:rFonts w:ascii="Arial" w:hAnsi="Arial" w:cs="Arial"/>
          <w:b/>
          <w:sz w:val="22"/>
          <w:szCs w:val="22"/>
          <w:lang w:val="es-CL" w:eastAsia="es-CL"/>
        </w:rPr>
        <w:t>8</w:t>
      </w:r>
      <w:r w:rsidR="00BA166F">
        <w:rPr>
          <w:rFonts w:ascii="Arial" w:hAnsi="Arial" w:cs="Arial"/>
          <w:sz w:val="22"/>
          <w:szCs w:val="22"/>
          <w:lang w:val="es-CL" w:eastAsia="es-CL"/>
        </w:rPr>
        <w:t xml:space="preserve"> de la presente Circular</w:t>
      </w:r>
      <w:r w:rsidR="00796846" w:rsidRPr="00252C1F">
        <w:rPr>
          <w:rFonts w:ascii="Arial" w:hAnsi="Arial" w:cs="Arial"/>
          <w:sz w:val="22"/>
          <w:szCs w:val="22"/>
          <w:lang w:val="es-CL" w:eastAsia="es-CL"/>
        </w:rPr>
        <w:t>.</w:t>
      </w:r>
    </w:p>
    <w:p w:rsidR="0000005E" w:rsidRPr="00252C1F" w:rsidRDefault="0000005E" w:rsidP="0000005E">
      <w:pPr>
        <w:autoSpaceDE w:val="0"/>
        <w:autoSpaceDN w:val="0"/>
        <w:adjustRightInd w:val="0"/>
        <w:jc w:val="both"/>
        <w:rPr>
          <w:sz w:val="22"/>
          <w:szCs w:val="22"/>
          <w:lang w:val="es-CL" w:eastAsia="es-CL"/>
        </w:rPr>
      </w:pPr>
    </w:p>
    <w:p w:rsidR="001533B0" w:rsidRPr="00BA166F" w:rsidRDefault="001533B0" w:rsidP="00CF6808">
      <w:pPr>
        <w:numPr>
          <w:ilvl w:val="0"/>
          <w:numId w:val="33"/>
        </w:numPr>
        <w:autoSpaceDE w:val="0"/>
        <w:autoSpaceDN w:val="0"/>
        <w:adjustRightInd w:val="0"/>
        <w:ind w:left="0" w:right="-142" w:firstLine="360"/>
        <w:jc w:val="both"/>
        <w:rPr>
          <w:rFonts w:ascii="Arial" w:hAnsi="Arial" w:cs="Arial"/>
          <w:b/>
          <w:sz w:val="22"/>
          <w:szCs w:val="22"/>
          <w:lang w:val="es-CL" w:eastAsia="es-CL"/>
        </w:rPr>
      </w:pPr>
      <w:r w:rsidRPr="00BA166F">
        <w:rPr>
          <w:rFonts w:ascii="Arial" w:hAnsi="Arial" w:cs="Arial"/>
          <w:b/>
          <w:sz w:val="22"/>
          <w:szCs w:val="22"/>
          <w:lang w:val="es-CL" w:eastAsia="es-CL"/>
        </w:rPr>
        <w:t xml:space="preserve">Períodos comprendidos entre el </w:t>
      </w:r>
      <w:r w:rsidR="00BA166F">
        <w:rPr>
          <w:rFonts w:ascii="Arial" w:hAnsi="Arial" w:cs="Arial"/>
          <w:b/>
          <w:sz w:val="22"/>
          <w:szCs w:val="22"/>
          <w:lang w:val="es-CL" w:eastAsia="es-CL"/>
        </w:rPr>
        <w:t>AC</w:t>
      </w:r>
      <w:r w:rsidRPr="00BA166F">
        <w:rPr>
          <w:rFonts w:ascii="Arial" w:hAnsi="Arial" w:cs="Arial"/>
          <w:b/>
          <w:sz w:val="22"/>
          <w:szCs w:val="22"/>
          <w:lang w:val="es-CL" w:eastAsia="es-CL"/>
        </w:rPr>
        <w:t xml:space="preserve"> 2013, inclusive, y hasta el término del régimen de invariabilidad de acuerdo a los respectivos contratos vigentes.</w:t>
      </w:r>
    </w:p>
    <w:p w:rsidR="00DA5B21" w:rsidRPr="00252C1F" w:rsidRDefault="00DA5B21" w:rsidP="001533B0">
      <w:pPr>
        <w:autoSpaceDE w:val="0"/>
        <w:autoSpaceDN w:val="0"/>
        <w:adjustRightInd w:val="0"/>
        <w:ind w:left="1134" w:right="-142" w:hanging="425"/>
        <w:jc w:val="both"/>
        <w:rPr>
          <w:rFonts w:ascii="Arial" w:hAnsi="Arial" w:cs="Arial"/>
          <w:sz w:val="22"/>
          <w:szCs w:val="22"/>
          <w:lang w:val="es-CL" w:eastAsia="es-CL"/>
        </w:rPr>
      </w:pPr>
    </w:p>
    <w:p w:rsidR="0020688A" w:rsidRPr="00252C1F" w:rsidRDefault="0020688A" w:rsidP="0020688A">
      <w:pPr>
        <w:autoSpaceDE w:val="0"/>
        <w:autoSpaceDN w:val="0"/>
        <w:adjustRightInd w:val="0"/>
        <w:ind w:right="-142"/>
        <w:jc w:val="both"/>
        <w:rPr>
          <w:rFonts w:ascii="Arial" w:hAnsi="Arial" w:cs="Arial"/>
          <w:sz w:val="22"/>
          <w:szCs w:val="22"/>
          <w:lang w:val="es-CL" w:eastAsia="es-CL"/>
        </w:rPr>
      </w:pPr>
      <w:r w:rsidRPr="00252C1F">
        <w:rPr>
          <w:rFonts w:ascii="Arial" w:hAnsi="Arial" w:cs="Arial"/>
          <w:sz w:val="22"/>
          <w:szCs w:val="22"/>
          <w:lang w:val="es-CL" w:eastAsia="es-CL"/>
        </w:rPr>
        <w:t xml:space="preserve">A partir del </w:t>
      </w:r>
      <w:r w:rsidR="00BA166F" w:rsidRPr="006A1D4B">
        <w:rPr>
          <w:rFonts w:ascii="Arial" w:hAnsi="Arial" w:cs="Arial"/>
          <w:b/>
          <w:sz w:val="22"/>
          <w:szCs w:val="22"/>
          <w:lang w:val="es-CL" w:eastAsia="es-CL"/>
        </w:rPr>
        <w:t>AC</w:t>
      </w:r>
      <w:r w:rsidRPr="00252C1F">
        <w:rPr>
          <w:rFonts w:ascii="Arial" w:hAnsi="Arial" w:cs="Arial"/>
          <w:sz w:val="22"/>
          <w:szCs w:val="22"/>
          <w:lang w:val="es-CL" w:eastAsia="es-CL"/>
        </w:rPr>
        <w:t xml:space="preserve"> 2013, inclusive, y hasta el término del régimen de invariabilidad </w:t>
      </w:r>
      <w:r w:rsidR="008B5896" w:rsidRPr="00252C1F">
        <w:rPr>
          <w:rFonts w:ascii="Arial" w:hAnsi="Arial" w:cs="Arial"/>
          <w:sz w:val="22"/>
          <w:szCs w:val="22"/>
          <w:lang w:val="es-CL" w:eastAsia="es-CL"/>
        </w:rPr>
        <w:t>establecido</w:t>
      </w:r>
      <w:r w:rsidRPr="00252C1F">
        <w:rPr>
          <w:rFonts w:ascii="Arial" w:hAnsi="Arial" w:cs="Arial"/>
          <w:sz w:val="22"/>
          <w:szCs w:val="22"/>
          <w:lang w:val="es-CL" w:eastAsia="es-CL"/>
        </w:rPr>
        <w:t xml:space="preserve"> en los respectivos contratos vigentes, descontados los ejercicios 2010, 2011 y 2012,</w:t>
      </w:r>
      <w:r w:rsidR="003D1715">
        <w:rPr>
          <w:rStyle w:val="Refdenotaalpie"/>
          <w:rFonts w:ascii="Arial" w:hAnsi="Arial" w:cs="Arial"/>
          <w:sz w:val="22"/>
          <w:szCs w:val="22"/>
          <w:lang w:val="es-CL" w:eastAsia="es-CL"/>
        </w:rPr>
        <w:footnoteReference w:id="11"/>
      </w:r>
      <w:r w:rsidRPr="00252C1F">
        <w:rPr>
          <w:rFonts w:ascii="Arial" w:hAnsi="Arial" w:cs="Arial"/>
          <w:sz w:val="22"/>
          <w:szCs w:val="22"/>
          <w:lang w:val="es-CL" w:eastAsia="es-CL"/>
        </w:rPr>
        <w:t xml:space="preserve"> se aplicarán las tasas contempladas en el N°1)</w:t>
      </w:r>
      <w:r w:rsidR="008B5896" w:rsidRPr="00252C1F">
        <w:rPr>
          <w:rFonts w:ascii="Arial" w:hAnsi="Arial" w:cs="Arial"/>
          <w:sz w:val="22"/>
          <w:szCs w:val="22"/>
          <w:lang w:val="es-CL" w:eastAsia="es-CL"/>
        </w:rPr>
        <w:t>,</w:t>
      </w:r>
      <w:r w:rsidRPr="00252C1F">
        <w:rPr>
          <w:rFonts w:ascii="Arial" w:hAnsi="Arial" w:cs="Arial"/>
          <w:sz w:val="22"/>
          <w:szCs w:val="22"/>
          <w:lang w:val="es-CL" w:eastAsia="es-CL"/>
        </w:rPr>
        <w:t xml:space="preserve"> del artículo 1°</w:t>
      </w:r>
      <w:r w:rsidR="008B5896" w:rsidRPr="00252C1F">
        <w:rPr>
          <w:rFonts w:ascii="Arial" w:hAnsi="Arial" w:cs="Arial"/>
          <w:sz w:val="22"/>
          <w:szCs w:val="22"/>
          <w:lang w:val="es-CL" w:eastAsia="es-CL"/>
        </w:rPr>
        <w:t>,</w:t>
      </w:r>
      <w:r w:rsidRPr="00252C1F">
        <w:rPr>
          <w:rFonts w:ascii="Arial" w:hAnsi="Arial" w:cs="Arial"/>
          <w:sz w:val="22"/>
          <w:szCs w:val="22"/>
          <w:lang w:val="es-CL" w:eastAsia="es-CL"/>
        </w:rPr>
        <w:t xml:space="preserve"> de la </w:t>
      </w:r>
      <w:r w:rsidR="008B5896" w:rsidRPr="00252C1F">
        <w:rPr>
          <w:rFonts w:ascii="Arial" w:hAnsi="Arial" w:cs="Arial"/>
          <w:sz w:val="22"/>
          <w:szCs w:val="22"/>
          <w:lang w:val="es-CL" w:eastAsia="es-CL"/>
        </w:rPr>
        <w:t>L</w:t>
      </w:r>
      <w:r w:rsidRPr="00252C1F">
        <w:rPr>
          <w:rFonts w:ascii="Arial" w:hAnsi="Arial" w:cs="Arial"/>
          <w:sz w:val="22"/>
          <w:szCs w:val="22"/>
          <w:lang w:val="es-CL" w:eastAsia="es-CL"/>
        </w:rPr>
        <w:t xml:space="preserve">ey  20.026, y en los artículos 3°, 4° y 5° transitorios de la misma ley, según sea el caso. </w:t>
      </w:r>
    </w:p>
    <w:p w:rsidR="0020688A" w:rsidRPr="00252C1F" w:rsidRDefault="0020688A" w:rsidP="00596F98">
      <w:pPr>
        <w:autoSpaceDE w:val="0"/>
        <w:autoSpaceDN w:val="0"/>
        <w:adjustRightInd w:val="0"/>
        <w:ind w:right="-142"/>
        <w:jc w:val="both"/>
        <w:rPr>
          <w:rFonts w:ascii="Arial" w:hAnsi="Arial" w:cs="Arial"/>
          <w:sz w:val="22"/>
          <w:szCs w:val="22"/>
          <w:lang w:val="es-CL" w:eastAsia="es-CL"/>
        </w:rPr>
      </w:pPr>
    </w:p>
    <w:p w:rsidR="00596F98" w:rsidRPr="00252C1F" w:rsidRDefault="00596F98" w:rsidP="00596F98">
      <w:pPr>
        <w:autoSpaceDE w:val="0"/>
        <w:autoSpaceDN w:val="0"/>
        <w:adjustRightInd w:val="0"/>
        <w:ind w:right="-142"/>
        <w:jc w:val="both"/>
        <w:rPr>
          <w:rFonts w:ascii="Arial" w:hAnsi="Arial" w:cs="Arial"/>
          <w:sz w:val="22"/>
          <w:szCs w:val="22"/>
          <w:lang w:val="es-CL" w:eastAsia="es-CL"/>
        </w:rPr>
      </w:pPr>
      <w:r w:rsidRPr="00252C1F">
        <w:rPr>
          <w:rFonts w:ascii="Arial" w:hAnsi="Arial" w:cs="Arial"/>
          <w:sz w:val="22"/>
          <w:szCs w:val="22"/>
          <w:lang w:val="es-CL" w:eastAsia="es-CL"/>
        </w:rPr>
        <w:t xml:space="preserve">En virtud de </w:t>
      </w:r>
      <w:r w:rsidR="00BA166F">
        <w:rPr>
          <w:rFonts w:ascii="Arial" w:hAnsi="Arial" w:cs="Arial"/>
          <w:sz w:val="22"/>
          <w:szCs w:val="22"/>
          <w:lang w:val="es-CL" w:eastAsia="es-CL"/>
        </w:rPr>
        <w:t>el</w:t>
      </w:r>
      <w:r w:rsidRPr="00252C1F">
        <w:rPr>
          <w:rFonts w:ascii="Arial" w:hAnsi="Arial" w:cs="Arial"/>
          <w:sz w:val="22"/>
          <w:szCs w:val="22"/>
          <w:lang w:val="es-CL" w:eastAsia="es-CL"/>
        </w:rPr>
        <w:t>lo, se pueden presentar l</w:t>
      </w:r>
      <w:r w:rsidR="00806040" w:rsidRPr="00252C1F">
        <w:rPr>
          <w:rFonts w:ascii="Arial" w:hAnsi="Arial" w:cs="Arial"/>
          <w:sz w:val="22"/>
          <w:szCs w:val="22"/>
          <w:lang w:val="es-CL" w:eastAsia="es-CL"/>
        </w:rPr>
        <w:t>a</w:t>
      </w:r>
      <w:r w:rsidRPr="00252C1F">
        <w:rPr>
          <w:rFonts w:ascii="Arial" w:hAnsi="Arial" w:cs="Arial"/>
          <w:sz w:val="22"/>
          <w:szCs w:val="22"/>
          <w:lang w:val="es-CL" w:eastAsia="es-CL"/>
        </w:rPr>
        <w:t>s siguientes</w:t>
      </w:r>
      <w:r w:rsidR="00806040" w:rsidRPr="00252C1F">
        <w:rPr>
          <w:rFonts w:ascii="Arial" w:hAnsi="Arial" w:cs="Arial"/>
          <w:sz w:val="22"/>
          <w:szCs w:val="22"/>
          <w:lang w:val="es-CL" w:eastAsia="es-CL"/>
        </w:rPr>
        <w:t xml:space="preserve"> situaciones</w:t>
      </w:r>
      <w:r w:rsidR="00902712">
        <w:rPr>
          <w:rStyle w:val="Refdenotaalpie"/>
          <w:rFonts w:ascii="Arial" w:hAnsi="Arial" w:cs="Arial"/>
          <w:sz w:val="22"/>
          <w:szCs w:val="22"/>
          <w:lang w:val="es-CL" w:eastAsia="es-CL"/>
        </w:rPr>
        <w:footnoteReference w:id="12"/>
      </w:r>
      <w:r w:rsidRPr="00252C1F">
        <w:rPr>
          <w:rFonts w:ascii="Arial" w:hAnsi="Arial" w:cs="Arial"/>
          <w:sz w:val="22"/>
          <w:szCs w:val="22"/>
          <w:lang w:val="es-CL" w:eastAsia="es-CL"/>
        </w:rPr>
        <w:t>:</w:t>
      </w:r>
    </w:p>
    <w:p w:rsidR="00596F98" w:rsidRPr="00252C1F" w:rsidRDefault="00596F98" w:rsidP="00596F98">
      <w:pPr>
        <w:autoSpaceDE w:val="0"/>
        <w:autoSpaceDN w:val="0"/>
        <w:adjustRightInd w:val="0"/>
        <w:ind w:right="-142"/>
        <w:jc w:val="both"/>
        <w:rPr>
          <w:rFonts w:ascii="Arial" w:hAnsi="Arial" w:cs="Arial"/>
          <w:sz w:val="22"/>
          <w:szCs w:val="22"/>
          <w:lang w:val="es-CL" w:eastAsia="es-CL"/>
        </w:rPr>
      </w:pPr>
    </w:p>
    <w:p w:rsidR="00596943" w:rsidRPr="006C1055" w:rsidRDefault="001B7BC0" w:rsidP="00CF6808">
      <w:pPr>
        <w:autoSpaceDE w:val="0"/>
        <w:autoSpaceDN w:val="0"/>
        <w:adjustRightInd w:val="0"/>
        <w:ind w:right="-142" w:firstLine="708"/>
        <w:jc w:val="both"/>
        <w:rPr>
          <w:rFonts w:ascii="Arial" w:hAnsi="Arial" w:cs="Arial"/>
          <w:b/>
          <w:sz w:val="22"/>
          <w:szCs w:val="22"/>
          <w:lang w:val="es-CL" w:eastAsia="es-CL"/>
        </w:rPr>
      </w:pPr>
      <w:r>
        <w:rPr>
          <w:rFonts w:ascii="Arial" w:hAnsi="Arial" w:cs="Arial"/>
          <w:b/>
          <w:sz w:val="22"/>
          <w:szCs w:val="22"/>
          <w:lang w:val="es-CL" w:eastAsia="es-CL"/>
        </w:rPr>
        <w:t xml:space="preserve">b.1. </w:t>
      </w:r>
      <w:r w:rsidR="009D2140" w:rsidRPr="006C1055">
        <w:rPr>
          <w:rFonts w:ascii="Arial" w:hAnsi="Arial" w:cs="Arial"/>
          <w:b/>
          <w:sz w:val="22"/>
          <w:szCs w:val="22"/>
          <w:lang w:val="es-CL" w:eastAsia="es-CL"/>
        </w:rPr>
        <w:t>A</w:t>
      </w:r>
      <w:r w:rsidR="007851CA" w:rsidRPr="006C1055">
        <w:rPr>
          <w:rFonts w:ascii="Arial" w:hAnsi="Arial" w:cs="Arial"/>
          <w:b/>
          <w:sz w:val="22"/>
          <w:szCs w:val="22"/>
          <w:lang w:val="es-CL" w:eastAsia="es-CL"/>
        </w:rPr>
        <w:t>rtículo 1°</w:t>
      </w:r>
      <w:r w:rsidR="004E7D68" w:rsidRPr="006C1055">
        <w:rPr>
          <w:rFonts w:ascii="Arial" w:hAnsi="Arial" w:cs="Arial"/>
          <w:b/>
          <w:sz w:val="22"/>
          <w:szCs w:val="22"/>
          <w:lang w:val="es-CL" w:eastAsia="es-CL"/>
        </w:rPr>
        <w:t>,</w:t>
      </w:r>
      <w:r w:rsidR="007851CA" w:rsidRPr="006C1055">
        <w:rPr>
          <w:rFonts w:ascii="Arial" w:hAnsi="Arial" w:cs="Arial"/>
          <w:b/>
          <w:sz w:val="22"/>
          <w:szCs w:val="22"/>
          <w:lang w:val="es-CL" w:eastAsia="es-CL"/>
        </w:rPr>
        <w:t xml:space="preserve"> </w:t>
      </w:r>
      <w:r w:rsidR="00596943" w:rsidRPr="006C1055">
        <w:rPr>
          <w:rFonts w:ascii="Arial" w:hAnsi="Arial" w:cs="Arial"/>
          <w:b/>
          <w:sz w:val="22"/>
          <w:szCs w:val="22"/>
          <w:lang w:val="es-CL" w:eastAsia="es-CL"/>
        </w:rPr>
        <w:t xml:space="preserve"> N° 1)</w:t>
      </w:r>
      <w:r w:rsidR="004E7D68" w:rsidRPr="006C1055">
        <w:rPr>
          <w:rFonts w:ascii="Arial" w:hAnsi="Arial" w:cs="Arial"/>
          <w:b/>
          <w:sz w:val="22"/>
          <w:szCs w:val="22"/>
          <w:lang w:val="es-CL" w:eastAsia="es-CL"/>
        </w:rPr>
        <w:t>,</w:t>
      </w:r>
      <w:r w:rsidR="00596943" w:rsidRPr="006C1055">
        <w:rPr>
          <w:rFonts w:ascii="Arial" w:hAnsi="Arial" w:cs="Arial"/>
          <w:b/>
          <w:sz w:val="22"/>
          <w:szCs w:val="22"/>
          <w:lang w:val="es-CL" w:eastAsia="es-CL"/>
        </w:rPr>
        <w:t xml:space="preserve"> de la </w:t>
      </w:r>
      <w:r w:rsidR="007851CA" w:rsidRPr="006C1055">
        <w:rPr>
          <w:rFonts w:ascii="Arial" w:hAnsi="Arial" w:cs="Arial"/>
          <w:b/>
          <w:sz w:val="22"/>
          <w:szCs w:val="22"/>
          <w:lang w:val="es-CL" w:eastAsia="es-CL"/>
        </w:rPr>
        <w:t>L</w:t>
      </w:r>
      <w:r w:rsidR="00596943" w:rsidRPr="006C1055">
        <w:rPr>
          <w:rFonts w:ascii="Arial" w:hAnsi="Arial" w:cs="Arial"/>
          <w:b/>
          <w:sz w:val="22"/>
          <w:szCs w:val="22"/>
          <w:lang w:val="es-CL" w:eastAsia="es-CL"/>
        </w:rPr>
        <w:t>ey 20.026.</w:t>
      </w:r>
    </w:p>
    <w:p w:rsidR="00596943" w:rsidRPr="00252C1F" w:rsidRDefault="00596943" w:rsidP="00596F98">
      <w:pPr>
        <w:autoSpaceDE w:val="0"/>
        <w:autoSpaceDN w:val="0"/>
        <w:adjustRightInd w:val="0"/>
        <w:ind w:right="-142"/>
        <w:jc w:val="both"/>
        <w:rPr>
          <w:rFonts w:ascii="Arial" w:hAnsi="Arial" w:cs="Arial"/>
          <w:sz w:val="22"/>
          <w:szCs w:val="22"/>
          <w:lang w:val="es-CL" w:eastAsia="es-CL"/>
        </w:rPr>
      </w:pPr>
    </w:p>
    <w:p w:rsidR="00596F98" w:rsidRPr="00252C1F" w:rsidRDefault="00BA166F" w:rsidP="00200193">
      <w:pPr>
        <w:autoSpaceDE w:val="0"/>
        <w:autoSpaceDN w:val="0"/>
        <w:adjustRightInd w:val="0"/>
        <w:ind w:right="-142"/>
        <w:jc w:val="both"/>
        <w:rPr>
          <w:rFonts w:ascii="Arial" w:hAnsi="Arial" w:cs="Arial"/>
          <w:sz w:val="22"/>
          <w:szCs w:val="22"/>
          <w:lang w:val="es-CL" w:eastAsia="es-CL"/>
        </w:rPr>
      </w:pPr>
      <w:r>
        <w:rPr>
          <w:rFonts w:ascii="Arial" w:hAnsi="Arial" w:cs="Arial"/>
          <w:sz w:val="22"/>
          <w:szCs w:val="22"/>
          <w:lang w:val="es-CL" w:eastAsia="es-CL"/>
        </w:rPr>
        <w:t>S</w:t>
      </w:r>
      <w:r w:rsidR="008F578D" w:rsidRPr="00252C1F">
        <w:rPr>
          <w:rFonts w:ascii="Arial" w:hAnsi="Arial" w:cs="Arial"/>
          <w:sz w:val="22"/>
          <w:szCs w:val="22"/>
          <w:lang w:val="es-CL" w:eastAsia="es-CL"/>
        </w:rPr>
        <w:t>e refiere a los c</w:t>
      </w:r>
      <w:r w:rsidR="00EF5F11" w:rsidRPr="00252C1F">
        <w:rPr>
          <w:rFonts w:ascii="Arial" w:hAnsi="Arial" w:cs="Arial"/>
          <w:sz w:val="22"/>
          <w:szCs w:val="22"/>
          <w:lang w:val="es-CL" w:eastAsia="es-CL"/>
        </w:rPr>
        <w:t xml:space="preserve">ontribuyentes que a contar del 1 de enero de 2006, se encontraban sujetos a lo dispuesto </w:t>
      </w:r>
      <w:r w:rsidR="004E7D68" w:rsidRPr="00252C1F">
        <w:rPr>
          <w:rFonts w:ascii="Arial" w:hAnsi="Arial" w:cs="Arial"/>
          <w:sz w:val="22"/>
          <w:szCs w:val="22"/>
          <w:lang w:val="es-CL" w:eastAsia="es-CL"/>
        </w:rPr>
        <w:t>por</w:t>
      </w:r>
      <w:r w:rsidR="00EF5F11" w:rsidRPr="00252C1F">
        <w:rPr>
          <w:rFonts w:ascii="Arial" w:hAnsi="Arial" w:cs="Arial"/>
          <w:sz w:val="22"/>
          <w:szCs w:val="22"/>
          <w:lang w:val="es-CL" w:eastAsia="es-CL"/>
        </w:rPr>
        <w:t xml:space="preserve"> el artículo 64 bis de la LIR, según </w:t>
      </w:r>
      <w:r w:rsidR="004E7D68" w:rsidRPr="00252C1F">
        <w:rPr>
          <w:rFonts w:ascii="Arial" w:hAnsi="Arial" w:cs="Arial"/>
          <w:sz w:val="22"/>
          <w:szCs w:val="22"/>
          <w:lang w:val="es-CL" w:eastAsia="es-CL"/>
        </w:rPr>
        <w:t xml:space="preserve">su </w:t>
      </w:r>
      <w:r w:rsidR="00EF5F11" w:rsidRPr="00252C1F">
        <w:rPr>
          <w:rFonts w:ascii="Arial" w:hAnsi="Arial" w:cs="Arial"/>
          <w:sz w:val="22"/>
          <w:szCs w:val="22"/>
          <w:lang w:val="es-CL" w:eastAsia="es-CL"/>
        </w:rPr>
        <w:t xml:space="preserve">texto fijado por </w:t>
      </w:r>
      <w:r>
        <w:rPr>
          <w:rFonts w:ascii="Arial" w:hAnsi="Arial" w:cs="Arial"/>
          <w:sz w:val="22"/>
          <w:szCs w:val="22"/>
          <w:lang w:val="es-CL" w:eastAsia="es-CL"/>
        </w:rPr>
        <w:t xml:space="preserve">la </w:t>
      </w:r>
      <w:r w:rsidR="00200193">
        <w:rPr>
          <w:rFonts w:ascii="Arial" w:hAnsi="Arial" w:cs="Arial"/>
          <w:sz w:val="22"/>
          <w:szCs w:val="22"/>
          <w:lang w:val="es-CL" w:eastAsia="es-CL"/>
        </w:rPr>
        <w:t>Ley 20.026</w:t>
      </w:r>
      <w:r w:rsidR="008F578D" w:rsidRPr="00252C1F">
        <w:rPr>
          <w:rFonts w:ascii="Arial" w:hAnsi="Arial" w:cs="Arial"/>
          <w:sz w:val="22"/>
          <w:szCs w:val="22"/>
          <w:lang w:val="es-CL" w:eastAsia="es-CL"/>
        </w:rPr>
        <w:t>.</w:t>
      </w:r>
      <w:r w:rsidR="00200193">
        <w:rPr>
          <w:rFonts w:ascii="Arial" w:hAnsi="Arial" w:cs="Arial"/>
          <w:sz w:val="22"/>
          <w:szCs w:val="22"/>
          <w:lang w:val="es-CL" w:eastAsia="es-CL"/>
        </w:rPr>
        <w:t xml:space="preserve"> </w:t>
      </w:r>
      <w:r w:rsidR="00FD67E4" w:rsidRPr="00252C1F">
        <w:rPr>
          <w:rFonts w:ascii="Arial" w:eastAsia="Calibri" w:hAnsi="Arial" w:cs="Arial"/>
          <w:sz w:val="22"/>
          <w:szCs w:val="22"/>
          <w:lang w:val="es-CL" w:eastAsia="es-CL"/>
        </w:rPr>
        <w:t xml:space="preserve">En efecto, el artículo 1° </w:t>
      </w:r>
      <w:r w:rsidR="004E7D68" w:rsidRPr="00252C1F">
        <w:rPr>
          <w:rFonts w:ascii="Arial" w:eastAsia="Calibri" w:hAnsi="Arial" w:cs="Arial"/>
          <w:sz w:val="22"/>
          <w:szCs w:val="22"/>
          <w:lang w:val="es-CL" w:eastAsia="es-CL"/>
        </w:rPr>
        <w:t>t</w:t>
      </w:r>
      <w:r w:rsidR="00FD67E4" w:rsidRPr="00252C1F">
        <w:rPr>
          <w:rFonts w:ascii="Arial" w:eastAsia="Calibri" w:hAnsi="Arial" w:cs="Arial"/>
          <w:sz w:val="22"/>
          <w:szCs w:val="22"/>
          <w:lang w:val="es-CL" w:eastAsia="es-CL"/>
        </w:rPr>
        <w:t>ransitorio de la Ley 20.026</w:t>
      </w:r>
      <w:r w:rsidR="00EB3385" w:rsidRPr="00252C1F">
        <w:rPr>
          <w:rFonts w:ascii="Arial" w:eastAsia="Calibri" w:hAnsi="Arial" w:cs="Arial"/>
          <w:sz w:val="22"/>
          <w:szCs w:val="22"/>
          <w:lang w:val="es-CL" w:eastAsia="es-CL"/>
        </w:rPr>
        <w:t>,</w:t>
      </w:r>
      <w:r w:rsidR="00FD67E4" w:rsidRPr="00252C1F">
        <w:rPr>
          <w:rFonts w:ascii="Arial" w:eastAsia="Calibri" w:hAnsi="Arial" w:cs="Arial"/>
          <w:sz w:val="22"/>
          <w:szCs w:val="22"/>
          <w:lang w:val="es-CL" w:eastAsia="es-CL"/>
        </w:rPr>
        <w:t xml:space="preserve"> establece que las disposiciones de</w:t>
      </w:r>
      <w:r w:rsidR="00EB3385" w:rsidRPr="00252C1F">
        <w:rPr>
          <w:rFonts w:ascii="Arial" w:eastAsia="Calibri" w:hAnsi="Arial" w:cs="Arial"/>
          <w:sz w:val="22"/>
          <w:szCs w:val="22"/>
          <w:lang w:val="es-CL" w:eastAsia="es-CL"/>
        </w:rPr>
        <w:t xml:space="preserve">l </w:t>
      </w:r>
      <w:r w:rsidR="00FD67E4" w:rsidRPr="00252C1F">
        <w:rPr>
          <w:rFonts w:ascii="Arial" w:eastAsia="Calibri" w:hAnsi="Arial" w:cs="Arial"/>
          <w:sz w:val="22"/>
          <w:szCs w:val="22"/>
          <w:lang w:val="es-CL" w:eastAsia="es-CL"/>
        </w:rPr>
        <w:t xml:space="preserve">artículo 1° (permanente) de </w:t>
      </w:r>
      <w:r w:rsidR="00EB3385" w:rsidRPr="00252C1F">
        <w:rPr>
          <w:rFonts w:ascii="Arial" w:eastAsia="Calibri" w:hAnsi="Arial" w:cs="Arial"/>
          <w:sz w:val="22"/>
          <w:szCs w:val="22"/>
          <w:lang w:val="es-CL" w:eastAsia="es-CL"/>
        </w:rPr>
        <w:t>la misma</w:t>
      </w:r>
      <w:r w:rsidR="00FD67E4" w:rsidRPr="00252C1F">
        <w:rPr>
          <w:rFonts w:ascii="Arial" w:eastAsia="Calibri" w:hAnsi="Arial" w:cs="Arial"/>
          <w:sz w:val="22"/>
          <w:szCs w:val="22"/>
          <w:lang w:val="es-CL" w:eastAsia="es-CL"/>
        </w:rPr>
        <w:t xml:space="preserve"> Ley, regirán a contar del día 1 de enero del año 2006. En consecuencia, agrega, el impuesto a que se refiere dicho artículo deberá pagarse por la </w:t>
      </w:r>
      <w:r w:rsidR="00EB3385" w:rsidRPr="00066E1F">
        <w:rPr>
          <w:rFonts w:ascii="Arial" w:eastAsia="Calibri" w:hAnsi="Arial" w:cs="Arial"/>
          <w:b/>
          <w:sz w:val="22"/>
          <w:szCs w:val="22"/>
          <w:lang w:val="es-CL" w:eastAsia="es-CL"/>
        </w:rPr>
        <w:t>RIOM</w:t>
      </w:r>
      <w:r w:rsidR="00FD67E4" w:rsidRPr="00252C1F">
        <w:rPr>
          <w:rFonts w:ascii="Arial" w:eastAsia="Calibri" w:hAnsi="Arial" w:cs="Arial"/>
          <w:sz w:val="22"/>
          <w:szCs w:val="22"/>
          <w:lang w:val="es-CL" w:eastAsia="es-CL"/>
        </w:rPr>
        <w:t xml:space="preserve"> del </w:t>
      </w:r>
      <w:r w:rsidR="00EB3385" w:rsidRPr="00066E1F">
        <w:rPr>
          <w:rFonts w:ascii="Arial" w:eastAsia="Calibri" w:hAnsi="Arial" w:cs="Arial"/>
          <w:b/>
          <w:sz w:val="22"/>
          <w:szCs w:val="22"/>
          <w:lang w:val="es-CL" w:eastAsia="es-CL"/>
        </w:rPr>
        <w:t>EM</w:t>
      </w:r>
      <w:r w:rsidR="00FD67E4" w:rsidRPr="00252C1F">
        <w:rPr>
          <w:rFonts w:ascii="Arial" w:eastAsia="Calibri" w:hAnsi="Arial" w:cs="Arial"/>
          <w:sz w:val="22"/>
          <w:szCs w:val="22"/>
          <w:lang w:val="es-CL" w:eastAsia="es-CL"/>
        </w:rPr>
        <w:t xml:space="preserve"> que se determine a contar de dicha fecha.</w:t>
      </w:r>
      <w:r>
        <w:rPr>
          <w:rFonts w:ascii="Arial" w:eastAsia="Calibri" w:hAnsi="Arial" w:cs="Arial"/>
          <w:sz w:val="22"/>
          <w:szCs w:val="22"/>
          <w:lang w:val="es-CL" w:eastAsia="es-CL"/>
        </w:rPr>
        <w:t xml:space="preserve"> </w:t>
      </w:r>
      <w:r w:rsidR="008F578D" w:rsidRPr="00252C1F">
        <w:rPr>
          <w:rFonts w:ascii="Arial" w:hAnsi="Arial" w:cs="Arial"/>
          <w:sz w:val="22"/>
          <w:szCs w:val="22"/>
          <w:lang w:val="es-CL" w:eastAsia="es-CL"/>
        </w:rPr>
        <w:t xml:space="preserve">Por </w:t>
      </w:r>
      <w:r w:rsidR="00200193">
        <w:rPr>
          <w:rFonts w:ascii="Arial" w:hAnsi="Arial" w:cs="Arial"/>
          <w:sz w:val="22"/>
          <w:szCs w:val="22"/>
          <w:lang w:val="es-CL" w:eastAsia="es-CL"/>
        </w:rPr>
        <w:t>ello</w:t>
      </w:r>
      <w:r w:rsidR="00FD67E4" w:rsidRPr="00252C1F">
        <w:rPr>
          <w:rFonts w:ascii="Arial" w:hAnsi="Arial" w:cs="Arial"/>
          <w:sz w:val="22"/>
          <w:szCs w:val="22"/>
          <w:lang w:val="es-CL" w:eastAsia="es-CL"/>
        </w:rPr>
        <w:t xml:space="preserve">, </w:t>
      </w:r>
      <w:r w:rsidR="00F71D20" w:rsidRPr="00252C1F">
        <w:rPr>
          <w:rFonts w:ascii="Arial" w:hAnsi="Arial" w:cs="Arial"/>
          <w:sz w:val="22"/>
          <w:szCs w:val="22"/>
          <w:lang w:val="es-CL" w:eastAsia="es-CL"/>
        </w:rPr>
        <w:t>a estos contribuyentes</w:t>
      </w:r>
      <w:r w:rsidR="00C74EF7">
        <w:rPr>
          <w:rFonts w:ascii="Arial" w:hAnsi="Arial" w:cs="Arial"/>
          <w:sz w:val="22"/>
          <w:szCs w:val="22"/>
          <w:lang w:val="es-CL" w:eastAsia="es-CL"/>
        </w:rPr>
        <w:t xml:space="preserve"> durante l</w:t>
      </w:r>
      <w:r w:rsidR="00C74EF7" w:rsidRPr="00C74EF7">
        <w:rPr>
          <w:rFonts w:ascii="Arial" w:hAnsi="Arial" w:cs="Arial"/>
          <w:sz w:val="22"/>
          <w:szCs w:val="22"/>
          <w:lang w:val="es-CL" w:eastAsia="es-CL"/>
        </w:rPr>
        <w:t xml:space="preserve">os períodos comprendidos entre el </w:t>
      </w:r>
      <w:r w:rsidR="00C74EF7" w:rsidRPr="00C74EF7">
        <w:rPr>
          <w:rFonts w:ascii="Arial" w:hAnsi="Arial" w:cs="Arial"/>
          <w:b/>
          <w:sz w:val="22"/>
          <w:szCs w:val="22"/>
          <w:lang w:val="es-CL" w:eastAsia="es-CL"/>
        </w:rPr>
        <w:t>AC</w:t>
      </w:r>
      <w:r w:rsidR="00C74EF7" w:rsidRPr="00C74EF7">
        <w:rPr>
          <w:rFonts w:ascii="Arial" w:hAnsi="Arial" w:cs="Arial"/>
          <w:sz w:val="22"/>
          <w:szCs w:val="22"/>
          <w:lang w:val="es-CL" w:eastAsia="es-CL"/>
        </w:rPr>
        <w:t xml:space="preserve"> 2013, inclusive, y hasta el término del régimen de invariabilidad de acuerdo a los respectivos contratos vigentes, </w:t>
      </w:r>
      <w:r w:rsidR="008F578D" w:rsidRPr="00252C1F">
        <w:rPr>
          <w:rFonts w:ascii="Arial" w:hAnsi="Arial" w:cs="Arial"/>
          <w:sz w:val="22"/>
          <w:szCs w:val="22"/>
          <w:lang w:val="es-CL" w:eastAsia="es-CL"/>
        </w:rPr>
        <w:t xml:space="preserve">se aplicarán </w:t>
      </w:r>
      <w:r w:rsidR="00596943" w:rsidRPr="00252C1F">
        <w:rPr>
          <w:rFonts w:ascii="Arial" w:hAnsi="Arial" w:cs="Arial"/>
          <w:sz w:val="22"/>
          <w:szCs w:val="22"/>
          <w:lang w:val="es-CL" w:eastAsia="es-CL"/>
        </w:rPr>
        <w:t xml:space="preserve">las </w:t>
      </w:r>
      <w:r w:rsidR="00F71D20" w:rsidRPr="00252C1F">
        <w:rPr>
          <w:rFonts w:ascii="Arial" w:hAnsi="Arial" w:cs="Arial"/>
          <w:sz w:val="22"/>
          <w:szCs w:val="22"/>
          <w:lang w:val="es-CL" w:eastAsia="es-CL"/>
        </w:rPr>
        <w:t xml:space="preserve">tasas </w:t>
      </w:r>
      <w:r w:rsidR="00FF76F6" w:rsidRPr="00252C1F">
        <w:rPr>
          <w:rFonts w:ascii="Arial" w:hAnsi="Arial" w:cs="Arial"/>
          <w:sz w:val="22"/>
          <w:szCs w:val="22"/>
          <w:lang w:val="es-CL" w:eastAsia="es-CL"/>
        </w:rPr>
        <w:t>establecidas en el artículo 64 bis de la LIR, según texto fijado por el N° 1)</w:t>
      </w:r>
      <w:r w:rsidR="00EB3385" w:rsidRPr="00252C1F">
        <w:rPr>
          <w:rFonts w:ascii="Arial" w:hAnsi="Arial" w:cs="Arial"/>
          <w:sz w:val="22"/>
          <w:szCs w:val="22"/>
          <w:lang w:val="es-CL" w:eastAsia="es-CL"/>
        </w:rPr>
        <w:t>,</w:t>
      </w:r>
      <w:r w:rsidR="00FF76F6" w:rsidRPr="00252C1F">
        <w:rPr>
          <w:rFonts w:ascii="Arial" w:hAnsi="Arial" w:cs="Arial"/>
          <w:sz w:val="22"/>
          <w:szCs w:val="22"/>
          <w:lang w:val="es-CL" w:eastAsia="es-CL"/>
        </w:rPr>
        <w:t xml:space="preserve"> del artículo 1°</w:t>
      </w:r>
      <w:r w:rsidR="00EB3385" w:rsidRPr="00252C1F">
        <w:rPr>
          <w:rFonts w:ascii="Arial" w:hAnsi="Arial" w:cs="Arial"/>
          <w:sz w:val="22"/>
          <w:szCs w:val="22"/>
          <w:lang w:val="es-CL" w:eastAsia="es-CL"/>
        </w:rPr>
        <w:t>,</w:t>
      </w:r>
      <w:r w:rsidR="00FF76F6" w:rsidRPr="00252C1F">
        <w:rPr>
          <w:rFonts w:ascii="Arial" w:hAnsi="Arial" w:cs="Arial"/>
          <w:sz w:val="22"/>
          <w:szCs w:val="22"/>
          <w:lang w:val="es-CL" w:eastAsia="es-CL"/>
        </w:rPr>
        <w:t xml:space="preserve"> de la </w:t>
      </w:r>
      <w:r w:rsidR="00EB3385" w:rsidRPr="00252C1F">
        <w:rPr>
          <w:rFonts w:ascii="Arial" w:hAnsi="Arial" w:cs="Arial"/>
          <w:sz w:val="22"/>
          <w:szCs w:val="22"/>
          <w:lang w:val="es-CL" w:eastAsia="es-CL"/>
        </w:rPr>
        <w:t>L</w:t>
      </w:r>
      <w:r w:rsidR="00FF76F6" w:rsidRPr="00252C1F">
        <w:rPr>
          <w:rFonts w:ascii="Arial" w:hAnsi="Arial" w:cs="Arial"/>
          <w:sz w:val="22"/>
          <w:szCs w:val="22"/>
          <w:lang w:val="es-CL" w:eastAsia="es-CL"/>
        </w:rPr>
        <w:t>ey 20.026, de 2005.</w:t>
      </w:r>
      <w:r w:rsidR="00FF76F6" w:rsidRPr="00252C1F">
        <w:rPr>
          <w:rStyle w:val="Refdenotaalpie"/>
          <w:rFonts w:ascii="Arial" w:hAnsi="Arial" w:cs="Arial"/>
          <w:sz w:val="22"/>
          <w:szCs w:val="22"/>
          <w:lang w:val="es-CL" w:eastAsia="es-CL"/>
        </w:rPr>
        <w:footnoteReference w:id="13"/>
      </w:r>
      <w:r w:rsidR="00EB3385" w:rsidRPr="00252C1F">
        <w:rPr>
          <w:rFonts w:ascii="Arial" w:hAnsi="Arial" w:cs="Arial"/>
          <w:sz w:val="22"/>
          <w:szCs w:val="22"/>
          <w:lang w:val="es-CL" w:eastAsia="es-CL"/>
        </w:rPr>
        <w:t xml:space="preserve"> </w:t>
      </w:r>
    </w:p>
    <w:p w:rsidR="00596F98" w:rsidRPr="00252C1F" w:rsidRDefault="00596F98" w:rsidP="00596F98">
      <w:pPr>
        <w:autoSpaceDE w:val="0"/>
        <w:autoSpaceDN w:val="0"/>
        <w:adjustRightInd w:val="0"/>
        <w:ind w:right="-142"/>
        <w:jc w:val="both"/>
        <w:rPr>
          <w:rFonts w:ascii="Arial" w:hAnsi="Arial" w:cs="Arial"/>
          <w:sz w:val="22"/>
          <w:szCs w:val="22"/>
          <w:lang w:val="es-CL" w:eastAsia="es-CL"/>
        </w:rPr>
      </w:pPr>
    </w:p>
    <w:p w:rsidR="00596943" w:rsidRPr="00041553" w:rsidRDefault="001B7BC0" w:rsidP="00CF6808">
      <w:pPr>
        <w:autoSpaceDE w:val="0"/>
        <w:autoSpaceDN w:val="0"/>
        <w:adjustRightInd w:val="0"/>
        <w:ind w:right="-142" w:firstLine="708"/>
        <w:jc w:val="both"/>
        <w:rPr>
          <w:rFonts w:ascii="Arial" w:hAnsi="Arial" w:cs="Arial"/>
          <w:b/>
          <w:sz w:val="22"/>
          <w:szCs w:val="22"/>
          <w:lang w:val="es-CL" w:eastAsia="es-CL"/>
        </w:rPr>
      </w:pPr>
      <w:r>
        <w:rPr>
          <w:rFonts w:ascii="Arial" w:hAnsi="Arial" w:cs="Arial"/>
          <w:b/>
          <w:sz w:val="22"/>
          <w:szCs w:val="22"/>
          <w:lang w:val="es-CL" w:eastAsia="es-CL"/>
        </w:rPr>
        <w:t xml:space="preserve">b.2. </w:t>
      </w:r>
      <w:r w:rsidR="009D2140" w:rsidRPr="00041553">
        <w:rPr>
          <w:rFonts w:ascii="Arial" w:hAnsi="Arial" w:cs="Arial"/>
          <w:b/>
          <w:sz w:val="22"/>
          <w:szCs w:val="22"/>
          <w:lang w:val="es-CL" w:eastAsia="es-CL"/>
        </w:rPr>
        <w:t>A</w:t>
      </w:r>
      <w:r w:rsidR="007851CA" w:rsidRPr="00041553">
        <w:rPr>
          <w:rFonts w:ascii="Arial" w:hAnsi="Arial" w:cs="Arial"/>
          <w:b/>
          <w:sz w:val="22"/>
          <w:szCs w:val="22"/>
          <w:lang w:val="es-CL" w:eastAsia="es-CL"/>
        </w:rPr>
        <w:t xml:space="preserve">rtículo 3° transitorio de la </w:t>
      </w:r>
      <w:r w:rsidR="00D872AB" w:rsidRPr="00041553">
        <w:rPr>
          <w:rFonts w:ascii="Arial" w:hAnsi="Arial" w:cs="Arial"/>
          <w:b/>
          <w:sz w:val="22"/>
          <w:szCs w:val="22"/>
          <w:lang w:val="es-CL" w:eastAsia="es-CL"/>
        </w:rPr>
        <w:t>L</w:t>
      </w:r>
      <w:r w:rsidR="007851CA" w:rsidRPr="00041553">
        <w:rPr>
          <w:rFonts w:ascii="Arial" w:hAnsi="Arial" w:cs="Arial"/>
          <w:b/>
          <w:sz w:val="22"/>
          <w:szCs w:val="22"/>
          <w:lang w:val="es-CL" w:eastAsia="es-CL"/>
        </w:rPr>
        <w:t>ey 20.026.</w:t>
      </w:r>
    </w:p>
    <w:p w:rsidR="00596943" w:rsidRPr="00252C1F" w:rsidRDefault="00596943" w:rsidP="00596F98">
      <w:pPr>
        <w:autoSpaceDE w:val="0"/>
        <w:autoSpaceDN w:val="0"/>
        <w:adjustRightInd w:val="0"/>
        <w:ind w:right="-142"/>
        <w:jc w:val="both"/>
        <w:rPr>
          <w:rFonts w:ascii="Arial" w:hAnsi="Arial" w:cs="Arial"/>
          <w:sz w:val="22"/>
          <w:szCs w:val="22"/>
          <w:lang w:val="es-CL" w:eastAsia="es-CL"/>
        </w:rPr>
      </w:pPr>
    </w:p>
    <w:p w:rsidR="00902712" w:rsidRDefault="00AF78FF" w:rsidP="00596F98">
      <w:pPr>
        <w:autoSpaceDE w:val="0"/>
        <w:autoSpaceDN w:val="0"/>
        <w:adjustRightInd w:val="0"/>
        <w:ind w:right="-142"/>
        <w:jc w:val="both"/>
        <w:rPr>
          <w:rFonts w:ascii="Arial" w:hAnsi="Arial" w:cs="Arial"/>
          <w:sz w:val="22"/>
          <w:szCs w:val="22"/>
          <w:lang w:val="es-CL" w:eastAsia="es-CL"/>
        </w:rPr>
      </w:pPr>
      <w:r>
        <w:rPr>
          <w:rFonts w:ascii="Arial" w:hAnsi="Arial" w:cs="Arial"/>
          <w:sz w:val="22"/>
          <w:szCs w:val="22"/>
          <w:lang w:val="es-CL" w:eastAsia="es-CL"/>
        </w:rPr>
        <w:t>S</w:t>
      </w:r>
      <w:r w:rsidR="00F71D20" w:rsidRPr="00252C1F">
        <w:rPr>
          <w:rFonts w:ascii="Arial" w:hAnsi="Arial" w:cs="Arial"/>
          <w:sz w:val="22"/>
          <w:szCs w:val="22"/>
          <w:lang w:val="es-CL" w:eastAsia="es-CL"/>
        </w:rPr>
        <w:t>e refiere a los i</w:t>
      </w:r>
      <w:r w:rsidR="00596F98" w:rsidRPr="00252C1F">
        <w:rPr>
          <w:rFonts w:ascii="Arial" w:hAnsi="Arial" w:cs="Arial"/>
          <w:sz w:val="22"/>
          <w:szCs w:val="22"/>
          <w:lang w:val="es-CL" w:eastAsia="es-CL"/>
        </w:rPr>
        <w:t>nver</w:t>
      </w:r>
      <w:r>
        <w:rPr>
          <w:rFonts w:ascii="Arial" w:hAnsi="Arial" w:cs="Arial"/>
          <w:sz w:val="22"/>
          <w:szCs w:val="22"/>
          <w:lang w:val="es-CL" w:eastAsia="es-CL"/>
        </w:rPr>
        <w:t>sionistas extranjeros que hubies</w:t>
      </w:r>
      <w:r w:rsidR="00596F98" w:rsidRPr="00252C1F">
        <w:rPr>
          <w:rFonts w:ascii="Arial" w:hAnsi="Arial" w:cs="Arial"/>
          <w:sz w:val="22"/>
          <w:szCs w:val="22"/>
          <w:lang w:val="es-CL" w:eastAsia="es-CL"/>
        </w:rPr>
        <w:t>en mantenido vigente un contrato de inversión extranjera suscrito con el Estado de Chile conforme al DL 600,</w:t>
      </w:r>
      <w:r w:rsidR="00E87240" w:rsidRPr="00252C1F">
        <w:rPr>
          <w:rFonts w:ascii="Arial" w:hAnsi="Arial" w:cs="Arial"/>
          <w:sz w:val="22"/>
          <w:szCs w:val="22"/>
          <w:lang w:val="es-CL" w:eastAsia="es-CL"/>
        </w:rPr>
        <w:t xml:space="preserve"> de 1974,</w:t>
      </w:r>
      <w:r w:rsidR="00596F98" w:rsidRPr="00252C1F">
        <w:rPr>
          <w:rFonts w:ascii="Arial" w:hAnsi="Arial" w:cs="Arial"/>
          <w:sz w:val="22"/>
          <w:szCs w:val="22"/>
          <w:lang w:val="es-CL" w:eastAsia="es-CL"/>
        </w:rPr>
        <w:t xml:space="preserve"> </w:t>
      </w:r>
      <w:r w:rsidR="004C65B5" w:rsidRPr="00252C1F">
        <w:rPr>
          <w:rFonts w:ascii="Arial" w:hAnsi="Arial" w:cs="Arial"/>
          <w:b/>
          <w:bCs/>
          <w:sz w:val="22"/>
          <w:szCs w:val="22"/>
        </w:rPr>
        <w:t>con anterioridad al 1</w:t>
      </w:r>
      <w:r>
        <w:rPr>
          <w:rFonts w:ascii="Arial" w:hAnsi="Arial" w:cs="Arial"/>
          <w:b/>
          <w:bCs/>
          <w:sz w:val="22"/>
          <w:szCs w:val="22"/>
        </w:rPr>
        <w:t>°</w:t>
      </w:r>
      <w:r w:rsidR="004C65B5" w:rsidRPr="00252C1F">
        <w:rPr>
          <w:rFonts w:ascii="Arial" w:hAnsi="Arial" w:cs="Arial"/>
          <w:b/>
          <w:bCs/>
          <w:sz w:val="22"/>
          <w:szCs w:val="22"/>
        </w:rPr>
        <w:t xml:space="preserve"> de diciembre de 2004</w:t>
      </w:r>
      <w:r w:rsidR="00596F98" w:rsidRPr="00252C1F">
        <w:rPr>
          <w:rFonts w:ascii="Arial" w:hAnsi="Arial" w:cs="Arial"/>
          <w:sz w:val="22"/>
          <w:szCs w:val="22"/>
          <w:lang w:val="es-CL" w:eastAsia="es-CL"/>
        </w:rPr>
        <w:t>, y que h</w:t>
      </w:r>
      <w:r>
        <w:rPr>
          <w:rFonts w:ascii="Arial" w:hAnsi="Arial" w:cs="Arial"/>
          <w:sz w:val="22"/>
          <w:szCs w:val="22"/>
          <w:lang w:val="es-CL" w:eastAsia="es-CL"/>
        </w:rPr>
        <w:t>ayan</w:t>
      </w:r>
      <w:r w:rsidR="00596F98" w:rsidRPr="00252C1F">
        <w:rPr>
          <w:rFonts w:ascii="Arial" w:hAnsi="Arial" w:cs="Arial"/>
          <w:sz w:val="22"/>
          <w:szCs w:val="22"/>
          <w:lang w:val="es-CL" w:eastAsia="es-CL"/>
        </w:rPr>
        <w:t xml:space="preserve"> optado por acogerse a lo dispuesto en el artículo 11</w:t>
      </w:r>
      <w:r w:rsidR="00200193">
        <w:rPr>
          <w:rFonts w:ascii="Arial" w:hAnsi="Arial" w:cs="Arial"/>
          <w:sz w:val="22"/>
          <w:szCs w:val="22"/>
          <w:lang w:val="es-CL" w:eastAsia="es-CL"/>
        </w:rPr>
        <w:t xml:space="preserve"> </w:t>
      </w:r>
      <w:r w:rsidR="00596F98" w:rsidRPr="00252C1F">
        <w:rPr>
          <w:rFonts w:ascii="Arial" w:hAnsi="Arial" w:cs="Arial"/>
          <w:sz w:val="22"/>
          <w:szCs w:val="22"/>
          <w:lang w:val="es-CL" w:eastAsia="es-CL"/>
        </w:rPr>
        <w:t>ter</w:t>
      </w:r>
      <w:r w:rsidR="00200193">
        <w:rPr>
          <w:rFonts w:ascii="Arial" w:hAnsi="Arial" w:cs="Arial"/>
          <w:sz w:val="22"/>
          <w:szCs w:val="22"/>
          <w:lang w:val="es-CL" w:eastAsia="es-CL"/>
        </w:rPr>
        <w:t xml:space="preserve"> de dicho texto legal</w:t>
      </w:r>
      <w:r w:rsidR="008F578D" w:rsidRPr="00252C1F">
        <w:rPr>
          <w:rFonts w:ascii="Arial" w:hAnsi="Arial" w:cs="Arial"/>
          <w:sz w:val="22"/>
          <w:szCs w:val="22"/>
          <w:lang w:val="es-CL" w:eastAsia="es-CL"/>
        </w:rPr>
        <w:t>.</w:t>
      </w:r>
      <w:r w:rsidR="007851CA" w:rsidRPr="00252C1F">
        <w:rPr>
          <w:rFonts w:ascii="Arial" w:hAnsi="Arial" w:cs="Arial"/>
          <w:sz w:val="22"/>
          <w:szCs w:val="22"/>
        </w:rPr>
        <w:t xml:space="preserve"> </w:t>
      </w:r>
      <w:r w:rsidR="00D8172B" w:rsidRPr="00252C1F">
        <w:rPr>
          <w:rFonts w:ascii="Arial" w:hAnsi="Arial" w:cs="Arial"/>
          <w:sz w:val="22"/>
          <w:szCs w:val="22"/>
          <w:lang w:val="es-CL" w:eastAsia="es-CL"/>
        </w:rPr>
        <w:t>E</w:t>
      </w:r>
      <w:r w:rsidR="00596F98" w:rsidRPr="00252C1F">
        <w:rPr>
          <w:rFonts w:ascii="Arial" w:hAnsi="Arial" w:cs="Arial"/>
          <w:sz w:val="22"/>
          <w:szCs w:val="22"/>
          <w:lang w:val="es-CL" w:eastAsia="es-CL"/>
        </w:rPr>
        <w:t>stos contribuyentes</w:t>
      </w:r>
      <w:r w:rsidR="00C74EF7">
        <w:rPr>
          <w:rFonts w:ascii="Arial" w:hAnsi="Arial" w:cs="Arial"/>
          <w:sz w:val="22"/>
          <w:szCs w:val="22"/>
          <w:lang w:val="es-CL" w:eastAsia="es-CL"/>
        </w:rPr>
        <w:t xml:space="preserve">, </w:t>
      </w:r>
      <w:r w:rsidR="00C74EF7" w:rsidRPr="00C74EF7">
        <w:rPr>
          <w:rFonts w:ascii="Arial" w:hAnsi="Arial" w:cs="Arial"/>
          <w:sz w:val="22"/>
          <w:szCs w:val="22"/>
          <w:lang w:val="es-CL" w:eastAsia="es-CL"/>
        </w:rPr>
        <w:t xml:space="preserve">durante los períodos comprendidos entre el AC 2013, inclusive, y hasta el término del régimen de invariabilidad de acuerdo a los respectivos contratos vigentes, </w:t>
      </w:r>
      <w:r w:rsidR="008F578D" w:rsidRPr="00252C1F">
        <w:rPr>
          <w:rFonts w:ascii="Arial" w:hAnsi="Arial" w:cs="Arial"/>
          <w:sz w:val="22"/>
          <w:szCs w:val="22"/>
          <w:lang w:val="es-CL" w:eastAsia="es-CL"/>
        </w:rPr>
        <w:t xml:space="preserve"> también </w:t>
      </w:r>
      <w:r w:rsidR="00596F98" w:rsidRPr="00252C1F">
        <w:rPr>
          <w:rFonts w:ascii="Arial" w:hAnsi="Arial" w:cs="Arial"/>
          <w:sz w:val="22"/>
          <w:szCs w:val="22"/>
          <w:lang w:val="es-CL" w:eastAsia="es-CL"/>
        </w:rPr>
        <w:t xml:space="preserve">se regirán por las tasas indicadas en el artículo 64 bis de </w:t>
      </w:r>
      <w:smartTag w:uri="urn:schemas-microsoft-com:office:smarttags" w:element="PersonName">
        <w:smartTagPr>
          <w:attr w:name="ProductID" w:val="la LIR"/>
        </w:smartTagPr>
        <w:r w:rsidR="00596F98" w:rsidRPr="00252C1F">
          <w:rPr>
            <w:rFonts w:ascii="Arial" w:hAnsi="Arial" w:cs="Arial"/>
            <w:sz w:val="22"/>
            <w:szCs w:val="22"/>
            <w:lang w:val="es-CL" w:eastAsia="es-CL"/>
          </w:rPr>
          <w:t>la LIR</w:t>
        </w:r>
      </w:smartTag>
      <w:r w:rsidR="00596F98" w:rsidRPr="00252C1F">
        <w:rPr>
          <w:rFonts w:ascii="Arial" w:hAnsi="Arial" w:cs="Arial"/>
          <w:sz w:val="22"/>
          <w:szCs w:val="22"/>
          <w:lang w:val="es-CL" w:eastAsia="es-CL"/>
        </w:rPr>
        <w:t xml:space="preserve">, </w:t>
      </w:r>
      <w:r w:rsidR="00E75A12" w:rsidRPr="00252C1F">
        <w:rPr>
          <w:rFonts w:ascii="Arial" w:hAnsi="Arial" w:cs="Arial"/>
          <w:sz w:val="22"/>
          <w:szCs w:val="22"/>
          <w:lang w:val="es-CL" w:eastAsia="es-CL"/>
        </w:rPr>
        <w:t>según</w:t>
      </w:r>
      <w:r>
        <w:rPr>
          <w:rFonts w:ascii="Arial" w:hAnsi="Arial" w:cs="Arial"/>
          <w:sz w:val="22"/>
          <w:szCs w:val="22"/>
          <w:lang w:val="es-CL" w:eastAsia="es-CL"/>
        </w:rPr>
        <w:t xml:space="preserve"> su</w:t>
      </w:r>
      <w:r w:rsidR="00E75A12" w:rsidRPr="00252C1F">
        <w:rPr>
          <w:rFonts w:ascii="Arial" w:hAnsi="Arial" w:cs="Arial"/>
          <w:sz w:val="22"/>
          <w:szCs w:val="22"/>
          <w:lang w:val="es-CL" w:eastAsia="es-CL"/>
        </w:rPr>
        <w:t xml:space="preserve"> texto fijado por la Ley 20.026, </w:t>
      </w:r>
      <w:r w:rsidR="00596F98" w:rsidRPr="00252C1F">
        <w:rPr>
          <w:rFonts w:ascii="Arial" w:hAnsi="Arial" w:cs="Arial"/>
          <w:sz w:val="22"/>
          <w:szCs w:val="22"/>
          <w:lang w:val="es-CL" w:eastAsia="es-CL"/>
        </w:rPr>
        <w:t xml:space="preserve">con la </w:t>
      </w:r>
      <w:r w:rsidR="00DC70FA" w:rsidRPr="00252C1F">
        <w:rPr>
          <w:rFonts w:ascii="Arial" w:hAnsi="Arial" w:cs="Arial"/>
          <w:sz w:val="22"/>
          <w:szCs w:val="22"/>
          <w:lang w:val="es-CL" w:eastAsia="es-CL"/>
        </w:rPr>
        <w:t>modificación contenida en el N°4)</w:t>
      </w:r>
      <w:r w:rsidR="00EE22D0">
        <w:rPr>
          <w:rFonts w:ascii="Arial" w:hAnsi="Arial" w:cs="Arial"/>
          <w:sz w:val="22"/>
          <w:szCs w:val="22"/>
          <w:lang w:val="es-CL" w:eastAsia="es-CL"/>
        </w:rPr>
        <w:t>,</w:t>
      </w:r>
      <w:r w:rsidR="00DC70FA" w:rsidRPr="00252C1F">
        <w:rPr>
          <w:rFonts w:ascii="Arial" w:hAnsi="Arial" w:cs="Arial"/>
          <w:sz w:val="22"/>
          <w:szCs w:val="22"/>
          <w:lang w:val="es-CL" w:eastAsia="es-CL"/>
        </w:rPr>
        <w:t xml:space="preserve"> del artículo 3°</w:t>
      </w:r>
      <w:r w:rsidR="00EE22D0">
        <w:rPr>
          <w:rFonts w:ascii="Arial" w:hAnsi="Arial" w:cs="Arial"/>
          <w:sz w:val="22"/>
          <w:szCs w:val="22"/>
          <w:lang w:val="es-CL" w:eastAsia="es-CL"/>
        </w:rPr>
        <w:t>,</w:t>
      </w:r>
      <w:r w:rsidR="00DC70FA" w:rsidRPr="00252C1F">
        <w:rPr>
          <w:rFonts w:ascii="Arial" w:hAnsi="Arial" w:cs="Arial"/>
          <w:sz w:val="22"/>
          <w:szCs w:val="22"/>
          <w:lang w:val="es-CL" w:eastAsia="es-CL"/>
        </w:rPr>
        <w:t xml:space="preserve"> </w:t>
      </w:r>
      <w:r>
        <w:rPr>
          <w:rFonts w:ascii="Arial" w:hAnsi="Arial" w:cs="Arial"/>
          <w:sz w:val="22"/>
          <w:szCs w:val="22"/>
          <w:lang w:val="es-CL" w:eastAsia="es-CL"/>
        </w:rPr>
        <w:t>t</w:t>
      </w:r>
      <w:r w:rsidR="00DC70FA" w:rsidRPr="00252C1F">
        <w:rPr>
          <w:rFonts w:ascii="Arial" w:hAnsi="Arial" w:cs="Arial"/>
          <w:sz w:val="22"/>
          <w:szCs w:val="22"/>
          <w:lang w:val="es-CL" w:eastAsia="es-CL"/>
        </w:rPr>
        <w:t>ransitorio</w:t>
      </w:r>
      <w:r w:rsidR="009D2140" w:rsidRPr="00252C1F">
        <w:rPr>
          <w:rFonts w:ascii="Arial" w:hAnsi="Arial" w:cs="Arial"/>
          <w:sz w:val="22"/>
          <w:szCs w:val="22"/>
          <w:lang w:val="es-CL" w:eastAsia="es-CL"/>
        </w:rPr>
        <w:t xml:space="preserve"> </w:t>
      </w:r>
      <w:r w:rsidR="00DC70FA" w:rsidRPr="00252C1F">
        <w:rPr>
          <w:rFonts w:ascii="Arial" w:hAnsi="Arial" w:cs="Arial"/>
          <w:sz w:val="22"/>
          <w:szCs w:val="22"/>
          <w:lang w:val="es-CL" w:eastAsia="es-CL"/>
        </w:rPr>
        <w:t xml:space="preserve">de </w:t>
      </w:r>
      <w:r w:rsidR="009D2140" w:rsidRPr="00252C1F">
        <w:rPr>
          <w:rFonts w:ascii="Arial" w:hAnsi="Arial" w:cs="Arial"/>
          <w:sz w:val="22"/>
          <w:szCs w:val="22"/>
          <w:lang w:val="es-CL" w:eastAsia="es-CL"/>
        </w:rPr>
        <w:t>ese mismo texto legal</w:t>
      </w:r>
      <w:r w:rsidR="00135400" w:rsidRPr="00252C1F">
        <w:rPr>
          <w:rFonts w:ascii="Arial" w:hAnsi="Arial" w:cs="Arial"/>
          <w:sz w:val="22"/>
          <w:szCs w:val="22"/>
          <w:lang w:val="es-CL" w:eastAsia="es-CL"/>
        </w:rPr>
        <w:t xml:space="preserve">, en virtud de la cual, </w:t>
      </w:r>
      <w:r w:rsidR="00135400" w:rsidRPr="00026A86">
        <w:rPr>
          <w:rFonts w:ascii="Arial" w:hAnsi="Arial" w:cs="Arial"/>
          <w:sz w:val="22"/>
          <w:szCs w:val="22"/>
          <w:lang w:val="es-CL" w:eastAsia="es-CL"/>
        </w:rPr>
        <w:t>la tasa</w:t>
      </w:r>
      <w:r w:rsidR="009F0E81" w:rsidRPr="00026A86">
        <w:rPr>
          <w:rFonts w:ascii="Arial" w:hAnsi="Arial" w:cs="Arial"/>
          <w:sz w:val="22"/>
          <w:szCs w:val="22"/>
          <w:lang w:val="es-CL" w:eastAsia="es-CL"/>
        </w:rPr>
        <w:t xml:space="preserve"> </w:t>
      </w:r>
      <w:r w:rsidR="00135400" w:rsidRPr="00026A86">
        <w:rPr>
          <w:rFonts w:ascii="Arial" w:hAnsi="Arial" w:cs="Arial"/>
          <w:sz w:val="22"/>
          <w:szCs w:val="22"/>
          <w:lang w:val="es-CL" w:eastAsia="es-CL"/>
        </w:rPr>
        <w:t xml:space="preserve">del </w:t>
      </w:r>
      <w:r w:rsidR="00135400" w:rsidRPr="001E086C">
        <w:rPr>
          <w:rFonts w:ascii="Arial" w:hAnsi="Arial" w:cs="Arial"/>
          <w:b/>
          <w:sz w:val="22"/>
          <w:szCs w:val="22"/>
          <w:lang w:val="es-CL" w:eastAsia="es-CL"/>
        </w:rPr>
        <w:t>IEM</w:t>
      </w:r>
      <w:r w:rsidR="00135400" w:rsidRPr="00026A86">
        <w:rPr>
          <w:rFonts w:ascii="Arial" w:hAnsi="Arial" w:cs="Arial"/>
          <w:sz w:val="22"/>
          <w:szCs w:val="22"/>
          <w:lang w:val="es-CL" w:eastAsia="es-CL"/>
        </w:rPr>
        <w:t xml:space="preserve"> será de 4%,</w:t>
      </w:r>
      <w:r w:rsidR="00135400" w:rsidRPr="00252C1F">
        <w:rPr>
          <w:rFonts w:ascii="Arial" w:hAnsi="Arial" w:cs="Arial"/>
          <w:sz w:val="22"/>
          <w:szCs w:val="22"/>
          <w:lang w:val="es-CL" w:eastAsia="es-CL"/>
        </w:rPr>
        <w:t xml:space="preserve"> mientras el contribuyente mantenga el derecho a invariabilidad tributaria establecido en el </w:t>
      </w:r>
      <w:r>
        <w:rPr>
          <w:rFonts w:ascii="Arial" w:hAnsi="Arial" w:cs="Arial"/>
          <w:sz w:val="22"/>
          <w:szCs w:val="22"/>
          <w:lang w:val="es-CL" w:eastAsia="es-CL"/>
        </w:rPr>
        <w:t xml:space="preserve">citado </w:t>
      </w:r>
      <w:r w:rsidR="00135400" w:rsidRPr="00252C1F">
        <w:rPr>
          <w:rFonts w:ascii="Arial" w:hAnsi="Arial" w:cs="Arial"/>
          <w:sz w:val="22"/>
          <w:szCs w:val="22"/>
          <w:lang w:val="es-CL" w:eastAsia="es-CL"/>
        </w:rPr>
        <w:t>artículo 11</w:t>
      </w:r>
      <w:r>
        <w:rPr>
          <w:rFonts w:ascii="Arial" w:hAnsi="Arial" w:cs="Arial"/>
          <w:sz w:val="22"/>
          <w:szCs w:val="22"/>
          <w:lang w:val="es-CL" w:eastAsia="es-CL"/>
        </w:rPr>
        <w:t xml:space="preserve"> </w:t>
      </w:r>
      <w:r w:rsidR="00135400" w:rsidRPr="00252C1F">
        <w:rPr>
          <w:rFonts w:ascii="Arial" w:hAnsi="Arial" w:cs="Arial"/>
          <w:sz w:val="22"/>
          <w:szCs w:val="22"/>
          <w:lang w:val="es-CL" w:eastAsia="es-CL"/>
        </w:rPr>
        <w:t>ter</w:t>
      </w:r>
      <w:r w:rsidR="00DC70FA" w:rsidRPr="00252C1F">
        <w:rPr>
          <w:rFonts w:ascii="Arial" w:hAnsi="Arial" w:cs="Arial"/>
          <w:sz w:val="22"/>
          <w:szCs w:val="22"/>
          <w:lang w:val="es-CL" w:eastAsia="es-CL"/>
        </w:rPr>
        <w:t>.</w:t>
      </w:r>
      <w:r w:rsidR="00D8172B" w:rsidRPr="00252C1F">
        <w:rPr>
          <w:rStyle w:val="Refdenotaalpie"/>
          <w:rFonts w:ascii="Arial" w:hAnsi="Arial" w:cs="Arial"/>
          <w:sz w:val="22"/>
          <w:szCs w:val="22"/>
          <w:lang w:val="es-CL" w:eastAsia="es-CL"/>
        </w:rPr>
        <w:footnoteReference w:id="14"/>
      </w:r>
      <w:r w:rsidR="00902712" w:rsidRPr="00902712">
        <w:rPr>
          <w:rFonts w:ascii="Arial" w:hAnsi="Arial" w:cs="Arial"/>
          <w:sz w:val="22"/>
          <w:szCs w:val="22"/>
          <w:lang w:val="es-CL" w:eastAsia="es-CL"/>
        </w:rPr>
        <w:t xml:space="preserve"> </w:t>
      </w:r>
    </w:p>
    <w:p w:rsidR="00C74EF7" w:rsidRPr="00252C1F" w:rsidRDefault="00C74EF7" w:rsidP="00596F98">
      <w:pPr>
        <w:autoSpaceDE w:val="0"/>
        <w:autoSpaceDN w:val="0"/>
        <w:adjustRightInd w:val="0"/>
        <w:ind w:right="-142"/>
        <w:jc w:val="both"/>
        <w:rPr>
          <w:rFonts w:ascii="Arial" w:hAnsi="Arial" w:cs="Arial"/>
          <w:sz w:val="22"/>
          <w:szCs w:val="22"/>
          <w:lang w:val="es-CL" w:eastAsia="es-CL"/>
        </w:rPr>
      </w:pPr>
    </w:p>
    <w:p w:rsidR="00EF5F11" w:rsidRPr="00041553" w:rsidRDefault="001B7BC0" w:rsidP="00CF6808">
      <w:pPr>
        <w:autoSpaceDE w:val="0"/>
        <w:autoSpaceDN w:val="0"/>
        <w:adjustRightInd w:val="0"/>
        <w:ind w:right="-93" w:firstLine="708"/>
        <w:jc w:val="both"/>
        <w:rPr>
          <w:rFonts w:ascii="Arial" w:hAnsi="Arial" w:cs="Arial"/>
          <w:b/>
          <w:sz w:val="22"/>
          <w:szCs w:val="22"/>
          <w:lang w:val="es-CL" w:eastAsia="es-CL"/>
        </w:rPr>
      </w:pPr>
      <w:r>
        <w:rPr>
          <w:rFonts w:ascii="Arial" w:hAnsi="Arial" w:cs="Arial"/>
          <w:b/>
          <w:sz w:val="22"/>
          <w:szCs w:val="22"/>
          <w:lang w:val="es-CL" w:eastAsia="es-CL"/>
        </w:rPr>
        <w:t xml:space="preserve">b.3. </w:t>
      </w:r>
      <w:r w:rsidR="009D2140" w:rsidRPr="00041553">
        <w:rPr>
          <w:rFonts w:ascii="Arial" w:hAnsi="Arial" w:cs="Arial"/>
          <w:b/>
          <w:sz w:val="22"/>
          <w:szCs w:val="22"/>
          <w:lang w:val="es-CL" w:eastAsia="es-CL"/>
        </w:rPr>
        <w:t>A</w:t>
      </w:r>
      <w:r w:rsidR="00EF5F11" w:rsidRPr="00041553">
        <w:rPr>
          <w:rFonts w:ascii="Arial" w:hAnsi="Arial" w:cs="Arial"/>
          <w:b/>
          <w:sz w:val="22"/>
          <w:szCs w:val="22"/>
          <w:lang w:val="es-CL" w:eastAsia="es-CL"/>
        </w:rPr>
        <w:t xml:space="preserve">rtículo 4° transitorio de la </w:t>
      </w:r>
      <w:r w:rsidR="008232E5" w:rsidRPr="00041553">
        <w:rPr>
          <w:rFonts w:ascii="Arial" w:hAnsi="Arial" w:cs="Arial"/>
          <w:b/>
          <w:sz w:val="22"/>
          <w:szCs w:val="22"/>
          <w:lang w:val="es-CL" w:eastAsia="es-CL"/>
        </w:rPr>
        <w:t>L</w:t>
      </w:r>
      <w:r w:rsidR="00EF5F11" w:rsidRPr="00041553">
        <w:rPr>
          <w:rFonts w:ascii="Arial" w:hAnsi="Arial" w:cs="Arial"/>
          <w:b/>
          <w:sz w:val="22"/>
          <w:szCs w:val="22"/>
          <w:lang w:val="es-CL" w:eastAsia="es-CL"/>
        </w:rPr>
        <w:t>ey 20.026.</w:t>
      </w:r>
    </w:p>
    <w:p w:rsidR="00EF5F11" w:rsidRPr="00252C1F" w:rsidRDefault="00EF5F11" w:rsidP="00721E55">
      <w:pPr>
        <w:autoSpaceDE w:val="0"/>
        <w:autoSpaceDN w:val="0"/>
        <w:adjustRightInd w:val="0"/>
        <w:ind w:right="-93"/>
        <w:jc w:val="both"/>
        <w:rPr>
          <w:rFonts w:ascii="Arial" w:hAnsi="Arial" w:cs="Arial"/>
          <w:sz w:val="22"/>
          <w:szCs w:val="22"/>
          <w:lang w:val="es-CL" w:eastAsia="es-CL"/>
        </w:rPr>
      </w:pPr>
    </w:p>
    <w:p w:rsidR="00C275B7" w:rsidRDefault="00945332" w:rsidP="00902712">
      <w:pPr>
        <w:autoSpaceDE w:val="0"/>
        <w:autoSpaceDN w:val="0"/>
        <w:adjustRightInd w:val="0"/>
        <w:ind w:right="-93"/>
        <w:jc w:val="both"/>
        <w:rPr>
          <w:rFonts w:ascii="Arial" w:hAnsi="Arial" w:cs="Arial"/>
          <w:sz w:val="22"/>
          <w:szCs w:val="22"/>
          <w:lang w:val="es-CL" w:eastAsia="es-CL"/>
        </w:rPr>
      </w:pPr>
      <w:r>
        <w:rPr>
          <w:rFonts w:ascii="Arial" w:hAnsi="Arial" w:cs="Arial"/>
          <w:sz w:val="22"/>
          <w:szCs w:val="22"/>
          <w:lang w:val="es-CL" w:eastAsia="es-CL"/>
        </w:rPr>
        <w:t>S</w:t>
      </w:r>
      <w:r w:rsidR="00E03131" w:rsidRPr="00252C1F">
        <w:rPr>
          <w:rFonts w:ascii="Arial" w:hAnsi="Arial" w:cs="Arial"/>
          <w:sz w:val="22"/>
          <w:szCs w:val="22"/>
          <w:lang w:val="es-CL" w:eastAsia="es-CL"/>
        </w:rPr>
        <w:t>e refiere a los i</w:t>
      </w:r>
      <w:r w:rsidR="00721E55" w:rsidRPr="00252C1F">
        <w:rPr>
          <w:rFonts w:ascii="Arial" w:eastAsia="Calibri" w:hAnsi="Arial" w:cs="Arial"/>
          <w:sz w:val="22"/>
          <w:szCs w:val="22"/>
          <w:lang w:val="es-CL" w:eastAsia="es-CL"/>
        </w:rPr>
        <w:t xml:space="preserve">nversionistas extranjeros que </w:t>
      </w:r>
      <w:r w:rsidR="0067473D" w:rsidRPr="00252C1F">
        <w:rPr>
          <w:rFonts w:ascii="Arial" w:eastAsia="Calibri" w:hAnsi="Arial" w:cs="Arial"/>
          <w:sz w:val="22"/>
          <w:szCs w:val="22"/>
          <w:lang w:val="es-CL" w:eastAsia="es-CL"/>
        </w:rPr>
        <w:t xml:space="preserve">hayan suscrito o suscriban </w:t>
      </w:r>
      <w:r w:rsidR="00721E55" w:rsidRPr="00252C1F">
        <w:rPr>
          <w:rFonts w:ascii="Arial" w:eastAsia="Calibri" w:hAnsi="Arial" w:cs="Arial"/>
          <w:sz w:val="22"/>
          <w:szCs w:val="22"/>
          <w:lang w:val="es-CL" w:eastAsia="es-CL"/>
        </w:rPr>
        <w:t xml:space="preserve">con el Estado de Chile un contrato de inversión extranjera conforme a lo  dispuesto en el </w:t>
      </w:r>
      <w:r w:rsidR="0067473D" w:rsidRPr="00252C1F">
        <w:rPr>
          <w:rFonts w:ascii="Arial" w:eastAsia="Calibri" w:hAnsi="Arial" w:cs="Arial"/>
          <w:sz w:val="22"/>
          <w:szCs w:val="22"/>
          <w:lang w:val="es-CL" w:eastAsia="es-CL"/>
        </w:rPr>
        <w:t xml:space="preserve">DL </w:t>
      </w:r>
      <w:r w:rsidR="00721E55" w:rsidRPr="00252C1F">
        <w:rPr>
          <w:rFonts w:ascii="Arial" w:eastAsia="Calibri" w:hAnsi="Arial" w:cs="Arial"/>
          <w:sz w:val="22"/>
          <w:szCs w:val="22"/>
          <w:lang w:val="es-CL" w:eastAsia="es-CL"/>
        </w:rPr>
        <w:t xml:space="preserve">600, de 1974, </w:t>
      </w:r>
      <w:r w:rsidR="00721E55" w:rsidRPr="00902712">
        <w:rPr>
          <w:rFonts w:ascii="Arial" w:eastAsia="Calibri" w:hAnsi="Arial" w:cs="Arial"/>
          <w:sz w:val="22"/>
          <w:szCs w:val="22"/>
          <w:lang w:val="es-CL" w:eastAsia="es-CL"/>
        </w:rPr>
        <w:t>en o con posterioridad al 1</w:t>
      </w:r>
      <w:r w:rsidRPr="00902712">
        <w:rPr>
          <w:rFonts w:ascii="Arial" w:eastAsia="Calibri" w:hAnsi="Arial" w:cs="Arial"/>
          <w:sz w:val="22"/>
          <w:szCs w:val="22"/>
          <w:lang w:val="es-CL" w:eastAsia="es-CL"/>
        </w:rPr>
        <w:t>°</w:t>
      </w:r>
      <w:r w:rsidR="00721E55" w:rsidRPr="00902712">
        <w:rPr>
          <w:rFonts w:ascii="Arial" w:eastAsia="Calibri" w:hAnsi="Arial" w:cs="Arial"/>
          <w:sz w:val="22"/>
          <w:szCs w:val="22"/>
          <w:lang w:val="es-CL" w:eastAsia="es-CL"/>
        </w:rPr>
        <w:t xml:space="preserve"> de diciembre de 2004 y hasta la entrada en vigencia de la Ley</w:t>
      </w:r>
      <w:r w:rsidR="00C275B7" w:rsidRPr="00902712">
        <w:rPr>
          <w:rFonts w:ascii="Arial" w:eastAsia="Calibri" w:hAnsi="Arial" w:cs="Arial"/>
          <w:sz w:val="22"/>
          <w:szCs w:val="22"/>
          <w:lang w:val="es-CL" w:eastAsia="es-CL"/>
        </w:rPr>
        <w:t xml:space="preserve"> 20.026</w:t>
      </w:r>
      <w:r w:rsidR="009E6756" w:rsidRPr="00902712">
        <w:rPr>
          <w:rFonts w:ascii="Arial" w:eastAsia="Calibri" w:hAnsi="Arial" w:cs="Arial"/>
          <w:sz w:val="22"/>
          <w:szCs w:val="22"/>
          <w:lang w:val="es-CL" w:eastAsia="es-CL"/>
        </w:rPr>
        <w:t>.</w:t>
      </w:r>
      <w:r w:rsidR="0082287E" w:rsidRPr="00252C1F">
        <w:rPr>
          <w:rStyle w:val="Refdenotaalpie"/>
          <w:rFonts w:ascii="Arial" w:hAnsi="Arial" w:cs="Arial"/>
          <w:sz w:val="22"/>
          <w:szCs w:val="22"/>
        </w:rPr>
        <w:t xml:space="preserve"> </w:t>
      </w:r>
      <w:r w:rsidR="0082287E" w:rsidRPr="00252C1F">
        <w:rPr>
          <w:rStyle w:val="Refdenotaalpie"/>
          <w:rFonts w:ascii="Arial" w:hAnsi="Arial" w:cs="Arial"/>
          <w:sz w:val="22"/>
          <w:szCs w:val="22"/>
        </w:rPr>
        <w:footnoteReference w:id="15"/>
      </w:r>
      <w:r w:rsidR="00902712">
        <w:rPr>
          <w:rFonts w:ascii="Arial" w:hAnsi="Arial" w:cs="Arial"/>
          <w:sz w:val="22"/>
          <w:szCs w:val="22"/>
        </w:rPr>
        <w:t xml:space="preserve"> </w:t>
      </w:r>
      <w:r w:rsidR="008F578D" w:rsidRPr="00252C1F">
        <w:rPr>
          <w:rFonts w:ascii="Arial" w:eastAsia="Calibri" w:hAnsi="Arial" w:cs="Arial"/>
          <w:sz w:val="22"/>
          <w:szCs w:val="22"/>
          <w:lang w:val="es-CL" w:eastAsia="es-CL"/>
        </w:rPr>
        <w:t>A est</w:t>
      </w:r>
      <w:r w:rsidR="00C275B7" w:rsidRPr="00252C1F">
        <w:rPr>
          <w:rFonts w:ascii="Arial" w:eastAsia="Calibri" w:hAnsi="Arial" w:cs="Arial"/>
          <w:sz w:val="22"/>
          <w:szCs w:val="22"/>
          <w:lang w:val="es-CL" w:eastAsia="es-CL"/>
        </w:rPr>
        <w:t xml:space="preserve">os contribuyentes, </w:t>
      </w:r>
      <w:r w:rsidR="000506A8" w:rsidRPr="00252C1F">
        <w:rPr>
          <w:rFonts w:ascii="Arial" w:eastAsia="Calibri" w:hAnsi="Arial" w:cs="Arial"/>
          <w:sz w:val="22"/>
          <w:szCs w:val="22"/>
          <w:lang w:val="es-CL" w:eastAsia="es-CL"/>
        </w:rPr>
        <w:t xml:space="preserve">como lo indica el </w:t>
      </w:r>
      <w:r w:rsidR="004D486C" w:rsidRPr="00252C1F">
        <w:rPr>
          <w:rFonts w:ascii="Arial" w:eastAsia="Calibri" w:hAnsi="Arial" w:cs="Arial"/>
          <w:sz w:val="22"/>
          <w:szCs w:val="22"/>
          <w:lang w:val="es-CL" w:eastAsia="es-CL"/>
        </w:rPr>
        <w:t xml:space="preserve">citado </w:t>
      </w:r>
      <w:r w:rsidR="000506A8" w:rsidRPr="00252C1F">
        <w:rPr>
          <w:rFonts w:ascii="Arial" w:eastAsia="Calibri" w:hAnsi="Arial" w:cs="Arial"/>
          <w:sz w:val="22"/>
          <w:szCs w:val="22"/>
          <w:lang w:val="es-CL" w:eastAsia="es-CL"/>
        </w:rPr>
        <w:t>artículo 4° transitorio</w:t>
      </w:r>
      <w:r w:rsidR="00C275B7" w:rsidRPr="00D5487D">
        <w:rPr>
          <w:rFonts w:ascii="Arial" w:eastAsia="Calibri" w:hAnsi="Arial" w:cs="Arial"/>
          <w:sz w:val="22"/>
          <w:szCs w:val="22"/>
          <w:lang w:val="es-CL" w:eastAsia="es-CL"/>
        </w:rPr>
        <w:t>,</w:t>
      </w:r>
      <w:r w:rsidR="00321DF4" w:rsidRPr="00D5487D">
        <w:rPr>
          <w:rFonts w:ascii="Arial" w:hAnsi="Arial" w:cs="Arial"/>
          <w:sz w:val="22"/>
          <w:szCs w:val="22"/>
          <w:lang w:val="es-CL" w:eastAsia="es-CL"/>
        </w:rPr>
        <w:t xml:space="preserve"> durante los períodos comprendidos entre el AC 2013, inclusive, y hasta el término del régimen de invariabilidad de acuerdo a los respectivos contratos vigentes</w:t>
      </w:r>
      <w:r w:rsidR="00D5487D" w:rsidRPr="00D5487D">
        <w:rPr>
          <w:rFonts w:ascii="Arial" w:hAnsi="Arial" w:cs="Arial"/>
          <w:sz w:val="22"/>
          <w:szCs w:val="22"/>
          <w:lang w:val="es-CL" w:eastAsia="es-CL"/>
        </w:rPr>
        <w:t>,</w:t>
      </w:r>
      <w:r w:rsidR="00C275B7" w:rsidRPr="00252C1F">
        <w:rPr>
          <w:rFonts w:ascii="Arial" w:eastAsia="Calibri" w:hAnsi="Arial" w:cs="Arial"/>
          <w:sz w:val="22"/>
          <w:szCs w:val="22"/>
          <w:lang w:val="es-CL" w:eastAsia="es-CL"/>
        </w:rPr>
        <w:t xml:space="preserve"> </w:t>
      </w:r>
      <w:r w:rsidR="008F578D" w:rsidRPr="00252C1F">
        <w:rPr>
          <w:rFonts w:ascii="Arial" w:eastAsia="Calibri" w:hAnsi="Arial" w:cs="Arial"/>
          <w:sz w:val="22"/>
          <w:szCs w:val="22"/>
          <w:lang w:val="es-CL" w:eastAsia="es-CL"/>
        </w:rPr>
        <w:t xml:space="preserve">se les aplicará </w:t>
      </w:r>
      <w:r w:rsidR="00721E55" w:rsidRPr="00252C1F">
        <w:rPr>
          <w:rFonts w:ascii="Arial" w:eastAsia="Calibri" w:hAnsi="Arial" w:cs="Arial"/>
          <w:sz w:val="22"/>
          <w:szCs w:val="22"/>
          <w:lang w:val="es-CL" w:eastAsia="es-CL"/>
        </w:rPr>
        <w:t>una tasa del 5%</w:t>
      </w:r>
      <w:r w:rsidR="00321DF4">
        <w:rPr>
          <w:rFonts w:ascii="Arial" w:eastAsia="Calibri" w:hAnsi="Arial" w:cs="Arial"/>
          <w:sz w:val="22"/>
          <w:szCs w:val="22"/>
          <w:lang w:val="es-CL" w:eastAsia="es-CL"/>
        </w:rPr>
        <w:t>.</w:t>
      </w:r>
      <w:r w:rsidR="004D486C" w:rsidRPr="006A1D4B">
        <w:rPr>
          <w:rFonts w:ascii="Arial" w:hAnsi="Arial" w:cs="Arial"/>
          <w:sz w:val="22"/>
          <w:szCs w:val="22"/>
          <w:lang w:val="es-CL" w:eastAsia="es-CL"/>
        </w:rPr>
        <w:t xml:space="preserve"> </w:t>
      </w:r>
    </w:p>
    <w:p w:rsidR="00902712" w:rsidRPr="006C1055" w:rsidRDefault="00902712" w:rsidP="00902712">
      <w:pPr>
        <w:autoSpaceDE w:val="0"/>
        <w:autoSpaceDN w:val="0"/>
        <w:adjustRightInd w:val="0"/>
        <w:ind w:right="-93"/>
        <w:jc w:val="both"/>
        <w:rPr>
          <w:rFonts w:ascii="Arial" w:eastAsia="Calibri" w:hAnsi="Arial" w:cs="Arial"/>
          <w:sz w:val="22"/>
          <w:szCs w:val="22"/>
          <w:lang w:val="es-CL" w:eastAsia="es-CL"/>
        </w:rPr>
      </w:pPr>
    </w:p>
    <w:p w:rsidR="008F578D" w:rsidRPr="00041553" w:rsidRDefault="001B7BC0" w:rsidP="00CF6808">
      <w:pPr>
        <w:autoSpaceDE w:val="0"/>
        <w:autoSpaceDN w:val="0"/>
        <w:adjustRightInd w:val="0"/>
        <w:ind w:right="-93" w:firstLine="708"/>
        <w:jc w:val="both"/>
        <w:rPr>
          <w:rFonts w:ascii="Arial" w:hAnsi="Arial" w:cs="Arial"/>
          <w:b/>
          <w:sz w:val="22"/>
          <w:szCs w:val="22"/>
          <w:lang w:val="es-CL" w:eastAsia="es-CL"/>
        </w:rPr>
      </w:pPr>
      <w:r>
        <w:rPr>
          <w:rFonts w:ascii="Arial" w:hAnsi="Arial" w:cs="Arial"/>
          <w:b/>
          <w:sz w:val="22"/>
          <w:szCs w:val="22"/>
          <w:lang w:val="es-CL" w:eastAsia="es-CL"/>
        </w:rPr>
        <w:t>b.4.</w:t>
      </w:r>
      <w:r w:rsidR="00CF6808">
        <w:rPr>
          <w:rFonts w:ascii="Arial" w:hAnsi="Arial" w:cs="Arial"/>
          <w:b/>
          <w:sz w:val="22"/>
          <w:szCs w:val="22"/>
          <w:lang w:val="es-CL" w:eastAsia="es-CL"/>
        </w:rPr>
        <w:t xml:space="preserve"> </w:t>
      </w:r>
      <w:r w:rsidR="008F578D" w:rsidRPr="00041553">
        <w:rPr>
          <w:rFonts w:ascii="Arial" w:hAnsi="Arial" w:cs="Arial"/>
          <w:b/>
          <w:sz w:val="22"/>
          <w:szCs w:val="22"/>
          <w:lang w:val="es-CL" w:eastAsia="es-CL"/>
        </w:rPr>
        <w:t xml:space="preserve">Artículo 5° transitorio de la </w:t>
      </w:r>
      <w:r w:rsidR="004D486C" w:rsidRPr="00041553">
        <w:rPr>
          <w:rFonts w:ascii="Arial" w:hAnsi="Arial" w:cs="Arial"/>
          <w:b/>
          <w:sz w:val="22"/>
          <w:szCs w:val="22"/>
          <w:lang w:val="es-CL" w:eastAsia="es-CL"/>
        </w:rPr>
        <w:t>L</w:t>
      </w:r>
      <w:r w:rsidR="008F578D" w:rsidRPr="00041553">
        <w:rPr>
          <w:rFonts w:ascii="Arial" w:hAnsi="Arial" w:cs="Arial"/>
          <w:b/>
          <w:sz w:val="22"/>
          <w:szCs w:val="22"/>
          <w:lang w:val="es-CL" w:eastAsia="es-CL"/>
        </w:rPr>
        <w:t>ey 20.026.</w:t>
      </w:r>
    </w:p>
    <w:p w:rsidR="008F578D" w:rsidRPr="00252C1F" w:rsidRDefault="008F578D" w:rsidP="008F578D">
      <w:pPr>
        <w:autoSpaceDE w:val="0"/>
        <w:autoSpaceDN w:val="0"/>
        <w:adjustRightInd w:val="0"/>
        <w:ind w:right="-93"/>
        <w:jc w:val="both"/>
        <w:rPr>
          <w:rFonts w:ascii="Arial" w:hAnsi="Arial" w:cs="Arial"/>
          <w:sz w:val="22"/>
          <w:szCs w:val="22"/>
          <w:lang w:val="es-CL" w:eastAsia="es-CL"/>
        </w:rPr>
      </w:pPr>
    </w:p>
    <w:p w:rsidR="00F8532F" w:rsidRPr="00252C1F" w:rsidRDefault="00041553" w:rsidP="002C0064">
      <w:pPr>
        <w:autoSpaceDE w:val="0"/>
        <w:autoSpaceDN w:val="0"/>
        <w:adjustRightInd w:val="0"/>
        <w:ind w:right="-93"/>
        <w:jc w:val="both"/>
        <w:rPr>
          <w:rFonts w:ascii="Arial" w:hAnsi="Arial" w:cs="Arial"/>
          <w:sz w:val="22"/>
          <w:szCs w:val="22"/>
          <w:lang w:val="es-CL" w:eastAsia="es-CL"/>
        </w:rPr>
      </w:pPr>
      <w:r>
        <w:rPr>
          <w:rFonts w:ascii="Arial" w:hAnsi="Arial" w:cs="Arial"/>
          <w:sz w:val="22"/>
          <w:szCs w:val="22"/>
          <w:lang w:val="es-CL" w:eastAsia="es-CL"/>
        </w:rPr>
        <w:t>S</w:t>
      </w:r>
      <w:r w:rsidR="004D486C" w:rsidRPr="00252C1F">
        <w:rPr>
          <w:rFonts w:ascii="Arial" w:hAnsi="Arial" w:cs="Arial"/>
          <w:sz w:val="22"/>
          <w:szCs w:val="22"/>
          <w:lang w:val="es-CL" w:eastAsia="es-CL"/>
        </w:rPr>
        <w:t>e refiere a las e</w:t>
      </w:r>
      <w:r w:rsidR="00DD1034" w:rsidRPr="00252C1F">
        <w:rPr>
          <w:rFonts w:ascii="Arial" w:eastAsia="Calibri" w:hAnsi="Arial" w:cs="Arial"/>
          <w:sz w:val="22"/>
          <w:szCs w:val="22"/>
          <w:lang w:val="es-CL" w:eastAsia="es-CL"/>
        </w:rPr>
        <w:t xml:space="preserve">mpresas afectas al </w:t>
      </w:r>
      <w:r w:rsidR="00722497" w:rsidRPr="001E086C">
        <w:rPr>
          <w:rFonts w:ascii="Arial" w:eastAsia="Calibri" w:hAnsi="Arial" w:cs="Arial"/>
          <w:b/>
          <w:sz w:val="22"/>
          <w:szCs w:val="22"/>
          <w:lang w:val="es-CL" w:eastAsia="es-CL"/>
        </w:rPr>
        <w:t>IEM</w:t>
      </w:r>
      <w:r w:rsidR="00DD1034" w:rsidRPr="00252C1F">
        <w:rPr>
          <w:rFonts w:ascii="Arial" w:eastAsia="Calibri" w:hAnsi="Arial" w:cs="Arial"/>
          <w:sz w:val="22"/>
          <w:szCs w:val="22"/>
          <w:lang w:val="es-CL" w:eastAsia="es-CL"/>
        </w:rPr>
        <w:t xml:space="preserve"> </w:t>
      </w:r>
      <w:r w:rsidR="002C0064">
        <w:rPr>
          <w:rFonts w:ascii="Arial" w:eastAsia="Calibri" w:hAnsi="Arial" w:cs="Arial"/>
          <w:sz w:val="22"/>
          <w:szCs w:val="22"/>
          <w:lang w:val="es-CL" w:eastAsia="es-CL"/>
        </w:rPr>
        <w:t>d</w:t>
      </w:r>
      <w:r w:rsidR="00DD1034" w:rsidRPr="00252C1F">
        <w:rPr>
          <w:rFonts w:ascii="Arial" w:eastAsia="Calibri" w:hAnsi="Arial" w:cs="Arial"/>
          <w:sz w:val="22"/>
          <w:szCs w:val="22"/>
          <w:lang w:val="es-CL" w:eastAsia="es-CL"/>
        </w:rPr>
        <w:t xml:space="preserve">el artículo 64 bis de la </w:t>
      </w:r>
      <w:r w:rsidR="00722497" w:rsidRPr="00252C1F">
        <w:rPr>
          <w:rFonts w:ascii="Arial" w:eastAsia="Calibri" w:hAnsi="Arial" w:cs="Arial"/>
          <w:sz w:val="22"/>
          <w:szCs w:val="22"/>
          <w:lang w:val="es-CL" w:eastAsia="es-CL"/>
        </w:rPr>
        <w:t>LIR</w:t>
      </w:r>
      <w:r w:rsidR="00DD1034" w:rsidRPr="00252C1F">
        <w:rPr>
          <w:rFonts w:ascii="Arial" w:eastAsia="Calibri" w:hAnsi="Arial" w:cs="Arial"/>
          <w:sz w:val="22"/>
          <w:szCs w:val="22"/>
          <w:lang w:val="es-CL" w:eastAsia="es-CL"/>
        </w:rPr>
        <w:t xml:space="preserve">, que no sean empresas receptoras del aporte de inversionistas extranjeros que hayan suscrito con el Estado de Chile un contrato de inversión extranjera conforme </w:t>
      </w:r>
      <w:r>
        <w:rPr>
          <w:rFonts w:ascii="Arial" w:eastAsia="Calibri" w:hAnsi="Arial" w:cs="Arial"/>
          <w:sz w:val="22"/>
          <w:szCs w:val="22"/>
          <w:lang w:val="es-CL" w:eastAsia="es-CL"/>
        </w:rPr>
        <w:t>a</w:t>
      </w:r>
      <w:r w:rsidR="00DD1034" w:rsidRPr="00252C1F">
        <w:rPr>
          <w:rFonts w:ascii="Arial" w:eastAsia="Calibri" w:hAnsi="Arial" w:cs="Arial"/>
          <w:sz w:val="22"/>
          <w:szCs w:val="22"/>
          <w:lang w:val="es-CL" w:eastAsia="es-CL"/>
        </w:rPr>
        <w:t xml:space="preserve">l </w:t>
      </w:r>
      <w:r w:rsidR="00722497" w:rsidRPr="00252C1F">
        <w:rPr>
          <w:rFonts w:ascii="Arial" w:eastAsia="Calibri" w:hAnsi="Arial" w:cs="Arial"/>
          <w:sz w:val="22"/>
          <w:szCs w:val="22"/>
          <w:lang w:val="es-CL" w:eastAsia="es-CL"/>
        </w:rPr>
        <w:t>DL</w:t>
      </w:r>
      <w:r w:rsidR="00DD1034" w:rsidRPr="00252C1F">
        <w:rPr>
          <w:rFonts w:ascii="Arial" w:eastAsia="Calibri" w:hAnsi="Arial" w:cs="Arial"/>
          <w:sz w:val="22"/>
          <w:szCs w:val="22"/>
          <w:lang w:val="es-CL" w:eastAsia="es-CL"/>
        </w:rPr>
        <w:t xml:space="preserve"> 600, de 1974.</w:t>
      </w:r>
      <w:r w:rsidR="00722497" w:rsidRPr="00252C1F">
        <w:rPr>
          <w:rFonts w:ascii="Arial" w:eastAsia="Calibri" w:hAnsi="Arial" w:cs="Arial"/>
          <w:sz w:val="22"/>
          <w:szCs w:val="22"/>
          <w:lang w:val="es-CL" w:eastAsia="es-CL"/>
        </w:rPr>
        <w:t xml:space="preserve"> En otras palabras, se trata de empresas locales que no siendo receptoras de inversiones extranjeras acogidas a los regímenes de invariabilidad que contempla el citado decreto ley, hayan suscrito un contrato de invariabilidad tributaria con el Estado de Chile, acogido a esta disposición transitoria.</w:t>
      </w:r>
      <w:r w:rsidR="002C0064">
        <w:rPr>
          <w:rFonts w:ascii="Arial" w:eastAsia="Calibri" w:hAnsi="Arial" w:cs="Arial"/>
          <w:sz w:val="22"/>
          <w:szCs w:val="22"/>
          <w:lang w:val="es-CL" w:eastAsia="es-CL"/>
        </w:rPr>
        <w:t xml:space="preserve"> E</w:t>
      </w:r>
      <w:r w:rsidR="00F734B7" w:rsidRPr="00252C1F">
        <w:rPr>
          <w:rFonts w:ascii="Arial" w:hAnsi="Arial" w:cs="Arial"/>
          <w:sz w:val="22"/>
          <w:szCs w:val="22"/>
          <w:lang w:val="es-CL" w:eastAsia="es-CL"/>
        </w:rPr>
        <w:t xml:space="preserve">stos contribuyentes, a contar del </w:t>
      </w:r>
      <w:r w:rsidR="001E086C" w:rsidRPr="001E086C">
        <w:rPr>
          <w:rFonts w:ascii="Arial" w:hAnsi="Arial" w:cs="Arial"/>
          <w:b/>
          <w:sz w:val="22"/>
          <w:szCs w:val="22"/>
          <w:lang w:val="es-CL" w:eastAsia="es-CL"/>
        </w:rPr>
        <w:t>AC</w:t>
      </w:r>
      <w:r w:rsidR="00F734B7" w:rsidRPr="00252C1F">
        <w:rPr>
          <w:rFonts w:ascii="Arial" w:hAnsi="Arial" w:cs="Arial"/>
          <w:sz w:val="22"/>
          <w:szCs w:val="22"/>
          <w:lang w:val="es-CL" w:eastAsia="es-CL"/>
        </w:rPr>
        <w:t xml:space="preserve"> 2013, inclusive, y hasta el término del régimen de invariabilidad señalado en los respectivos contratos vigentes, se regirán por</w:t>
      </w:r>
      <w:r w:rsidR="000A305F">
        <w:rPr>
          <w:rFonts w:ascii="Arial" w:hAnsi="Arial" w:cs="Arial"/>
          <w:sz w:val="22"/>
          <w:szCs w:val="22"/>
          <w:lang w:val="es-CL" w:eastAsia="es-CL"/>
        </w:rPr>
        <w:t xml:space="preserve"> el</w:t>
      </w:r>
      <w:r w:rsidR="00F734B7" w:rsidRPr="00252C1F">
        <w:rPr>
          <w:rFonts w:ascii="Arial" w:hAnsi="Arial" w:cs="Arial"/>
          <w:sz w:val="22"/>
          <w:szCs w:val="22"/>
          <w:lang w:val="es-CL" w:eastAsia="es-CL"/>
        </w:rPr>
        <w:t xml:space="preserve"> artículo 64 bis de la LIR, según texto fijado por la Ley 20.026</w:t>
      </w:r>
      <w:r w:rsidR="000A305F">
        <w:rPr>
          <w:rFonts w:ascii="Arial" w:hAnsi="Arial" w:cs="Arial"/>
          <w:sz w:val="22"/>
          <w:szCs w:val="22"/>
          <w:lang w:val="es-CL" w:eastAsia="es-CL"/>
        </w:rPr>
        <w:t>, aplicándose una tasa de 4%</w:t>
      </w:r>
      <w:r w:rsidR="00F734B7" w:rsidRPr="00252C1F">
        <w:rPr>
          <w:rFonts w:ascii="Arial" w:hAnsi="Arial" w:cs="Arial"/>
          <w:sz w:val="22"/>
          <w:szCs w:val="22"/>
          <w:lang w:val="es-CL" w:eastAsia="es-CL"/>
        </w:rPr>
        <w:t>.</w:t>
      </w:r>
      <w:r w:rsidR="00D429F2" w:rsidRPr="00252C1F">
        <w:rPr>
          <w:rStyle w:val="Refdenotaalpie"/>
          <w:rFonts w:ascii="Arial" w:hAnsi="Arial" w:cs="Arial"/>
          <w:sz w:val="22"/>
          <w:szCs w:val="22"/>
          <w:lang w:val="es-CL" w:eastAsia="es-CL"/>
        </w:rPr>
        <w:footnoteReference w:id="16"/>
      </w:r>
      <w:r w:rsidR="00F734B7" w:rsidRPr="00252C1F">
        <w:rPr>
          <w:rFonts w:ascii="Arial" w:hAnsi="Arial" w:cs="Arial"/>
          <w:sz w:val="22"/>
          <w:szCs w:val="22"/>
          <w:lang w:val="es-CL" w:eastAsia="es-CL"/>
        </w:rPr>
        <w:t xml:space="preserve"> </w:t>
      </w:r>
    </w:p>
    <w:p w:rsidR="00F734B7" w:rsidRPr="00252C1F" w:rsidRDefault="00F734B7" w:rsidP="00F734B7">
      <w:pPr>
        <w:autoSpaceDE w:val="0"/>
        <w:autoSpaceDN w:val="0"/>
        <w:adjustRightInd w:val="0"/>
        <w:ind w:right="-142"/>
        <w:jc w:val="both"/>
        <w:rPr>
          <w:rFonts w:ascii="Arial" w:hAnsi="Arial" w:cs="Arial"/>
          <w:sz w:val="22"/>
          <w:szCs w:val="22"/>
          <w:lang w:val="es-CL" w:eastAsia="es-CL"/>
        </w:rPr>
      </w:pPr>
    </w:p>
    <w:p w:rsidR="003313E2" w:rsidRPr="00252C1F" w:rsidRDefault="003313E2" w:rsidP="003313E2">
      <w:pPr>
        <w:autoSpaceDE w:val="0"/>
        <w:autoSpaceDN w:val="0"/>
        <w:adjustRightInd w:val="0"/>
        <w:jc w:val="both"/>
        <w:rPr>
          <w:rFonts w:ascii="Arial" w:hAnsi="Arial" w:cs="Arial"/>
          <w:sz w:val="22"/>
          <w:szCs w:val="22"/>
          <w:lang w:val="es-CL" w:eastAsia="es-CL"/>
        </w:rPr>
      </w:pPr>
      <w:r w:rsidRPr="00252C1F">
        <w:rPr>
          <w:rFonts w:ascii="Arial" w:hAnsi="Arial" w:cs="Arial"/>
          <w:sz w:val="22"/>
          <w:szCs w:val="22"/>
          <w:lang w:val="es-CL" w:eastAsia="es-CL"/>
        </w:rPr>
        <w:t xml:space="preserve">Conforme lo establece </w:t>
      </w:r>
      <w:r w:rsidR="00B846FD" w:rsidRPr="00252C1F">
        <w:rPr>
          <w:rFonts w:ascii="Arial" w:hAnsi="Arial" w:cs="Arial"/>
          <w:sz w:val="22"/>
          <w:szCs w:val="22"/>
          <w:lang w:val="es-CL" w:eastAsia="es-CL"/>
        </w:rPr>
        <w:t>la parte final</w:t>
      </w:r>
      <w:r w:rsidR="008B6270" w:rsidRPr="00252C1F">
        <w:rPr>
          <w:rFonts w:ascii="Arial" w:hAnsi="Arial" w:cs="Arial"/>
          <w:sz w:val="22"/>
          <w:szCs w:val="22"/>
          <w:lang w:val="es-CL" w:eastAsia="es-CL"/>
        </w:rPr>
        <w:t>,</w:t>
      </w:r>
      <w:r w:rsidR="00B846FD" w:rsidRPr="00252C1F">
        <w:rPr>
          <w:rFonts w:ascii="Arial" w:hAnsi="Arial" w:cs="Arial"/>
          <w:sz w:val="22"/>
          <w:szCs w:val="22"/>
          <w:lang w:val="es-CL" w:eastAsia="es-CL"/>
        </w:rPr>
        <w:t xml:space="preserve"> del inciso 3°</w:t>
      </w:r>
      <w:r w:rsidR="008B6270" w:rsidRPr="00252C1F">
        <w:rPr>
          <w:rFonts w:ascii="Arial" w:hAnsi="Arial" w:cs="Arial"/>
          <w:sz w:val="22"/>
          <w:szCs w:val="22"/>
          <w:lang w:val="es-CL" w:eastAsia="es-CL"/>
        </w:rPr>
        <w:t>,</w:t>
      </w:r>
      <w:r w:rsidR="00B846FD" w:rsidRPr="00252C1F">
        <w:rPr>
          <w:rFonts w:ascii="Arial" w:hAnsi="Arial" w:cs="Arial"/>
          <w:sz w:val="22"/>
          <w:szCs w:val="22"/>
          <w:lang w:val="es-CL" w:eastAsia="es-CL"/>
        </w:rPr>
        <w:t xml:space="preserve"> del artículo 2° </w:t>
      </w:r>
      <w:r w:rsidR="008B6270" w:rsidRPr="00252C1F">
        <w:rPr>
          <w:rFonts w:ascii="Arial" w:hAnsi="Arial" w:cs="Arial"/>
          <w:sz w:val="22"/>
          <w:szCs w:val="22"/>
          <w:lang w:val="es-CL" w:eastAsia="es-CL"/>
        </w:rPr>
        <w:t>t</w:t>
      </w:r>
      <w:r w:rsidR="00B846FD" w:rsidRPr="00252C1F">
        <w:rPr>
          <w:rFonts w:ascii="Arial" w:hAnsi="Arial" w:cs="Arial"/>
          <w:sz w:val="22"/>
          <w:szCs w:val="22"/>
          <w:lang w:val="es-CL" w:eastAsia="es-CL"/>
        </w:rPr>
        <w:t>ransitorio, de la Ley 20.469, la</w:t>
      </w:r>
      <w:r w:rsidR="008B6270" w:rsidRPr="00252C1F">
        <w:rPr>
          <w:rFonts w:ascii="Arial" w:hAnsi="Arial" w:cs="Arial"/>
          <w:sz w:val="22"/>
          <w:szCs w:val="22"/>
          <w:lang w:val="es-CL" w:eastAsia="es-CL"/>
        </w:rPr>
        <w:t>s</w:t>
      </w:r>
      <w:r w:rsidR="00B846FD" w:rsidRPr="00252C1F">
        <w:rPr>
          <w:rFonts w:ascii="Arial" w:hAnsi="Arial" w:cs="Arial"/>
          <w:sz w:val="22"/>
          <w:szCs w:val="22"/>
          <w:lang w:val="es-CL" w:eastAsia="es-CL"/>
        </w:rPr>
        <w:t xml:space="preserve"> tasa</w:t>
      </w:r>
      <w:r w:rsidR="008B6270" w:rsidRPr="00252C1F">
        <w:rPr>
          <w:rFonts w:ascii="Arial" w:hAnsi="Arial" w:cs="Arial"/>
          <w:sz w:val="22"/>
          <w:szCs w:val="22"/>
          <w:lang w:val="es-CL" w:eastAsia="es-CL"/>
        </w:rPr>
        <w:t xml:space="preserve">s del </w:t>
      </w:r>
      <w:r w:rsidR="008B6270" w:rsidRPr="001A6A24">
        <w:rPr>
          <w:rFonts w:ascii="Arial" w:hAnsi="Arial" w:cs="Arial"/>
          <w:b/>
          <w:sz w:val="22"/>
          <w:szCs w:val="22"/>
          <w:lang w:val="es-CL" w:eastAsia="es-CL"/>
        </w:rPr>
        <w:t>IEM</w:t>
      </w:r>
      <w:r w:rsidR="008B6270" w:rsidRPr="00252C1F">
        <w:rPr>
          <w:rFonts w:ascii="Arial" w:hAnsi="Arial" w:cs="Arial"/>
          <w:sz w:val="22"/>
          <w:szCs w:val="22"/>
          <w:lang w:val="es-CL" w:eastAsia="es-CL"/>
        </w:rPr>
        <w:t xml:space="preserve"> que correspondan, según sea el caso,</w:t>
      </w:r>
      <w:r w:rsidR="00B846FD" w:rsidRPr="00252C1F">
        <w:rPr>
          <w:rFonts w:ascii="Arial" w:hAnsi="Arial" w:cs="Arial"/>
          <w:sz w:val="22"/>
          <w:szCs w:val="22"/>
          <w:lang w:val="es-CL" w:eastAsia="es-CL"/>
        </w:rPr>
        <w:t xml:space="preserve"> </w:t>
      </w:r>
      <w:r w:rsidRPr="00252C1F">
        <w:rPr>
          <w:rFonts w:ascii="Arial" w:eastAsia="Calibri" w:hAnsi="Arial" w:cs="Arial"/>
          <w:sz w:val="22"/>
          <w:szCs w:val="22"/>
          <w:lang w:val="es-CL" w:eastAsia="es-CL"/>
        </w:rPr>
        <w:t xml:space="preserve">se aplicarán sobre la </w:t>
      </w:r>
      <w:r w:rsidR="008B6270" w:rsidRPr="006A1D4B">
        <w:rPr>
          <w:rFonts w:ascii="Arial" w:eastAsia="Calibri" w:hAnsi="Arial" w:cs="Arial"/>
          <w:b/>
          <w:sz w:val="22"/>
          <w:szCs w:val="22"/>
          <w:lang w:val="es-CL" w:eastAsia="es-CL"/>
        </w:rPr>
        <w:t>RIOM</w:t>
      </w:r>
      <w:r w:rsidRPr="00252C1F">
        <w:rPr>
          <w:rFonts w:ascii="Arial" w:eastAsia="Calibri" w:hAnsi="Arial" w:cs="Arial"/>
          <w:sz w:val="22"/>
          <w:szCs w:val="22"/>
          <w:lang w:val="es-CL" w:eastAsia="es-CL"/>
        </w:rPr>
        <w:t xml:space="preserve"> determinada en conformidad a </w:t>
      </w:r>
      <w:r w:rsidR="00B846FD" w:rsidRPr="00252C1F">
        <w:rPr>
          <w:rFonts w:ascii="Arial" w:eastAsia="Calibri" w:hAnsi="Arial" w:cs="Arial"/>
          <w:sz w:val="22"/>
          <w:szCs w:val="22"/>
          <w:lang w:val="es-CL" w:eastAsia="es-CL"/>
        </w:rPr>
        <w:t>la</w:t>
      </w:r>
      <w:r w:rsidRPr="00252C1F">
        <w:rPr>
          <w:rFonts w:ascii="Arial" w:eastAsia="Calibri" w:hAnsi="Arial" w:cs="Arial"/>
          <w:sz w:val="22"/>
          <w:szCs w:val="22"/>
          <w:lang w:val="es-CL" w:eastAsia="es-CL"/>
        </w:rPr>
        <w:t>s normas</w:t>
      </w:r>
      <w:r w:rsidR="00B846FD" w:rsidRPr="00252C1F">
        <w:rPr>
          <w:rFonts w:ascii="Arial" w:eastAsia="Calibri" w:hAnsi="Arial" w:cs="Arial"/>
          <w:sz w:val="22"/>
          <w:szCs w:val="22"/>
          <w:lang w:val="es-CL" w:eastAsia="es-CL"/>
        </w:rPr>
        <w:t xml:space="preserve"> citadas precedente</w:t>
      </w:r>
      <w:r w:rsidR="001B7BC0">
        <w:rPr>
          <w:rFonts w:ascii="Arial" w:eastAsia="Calibri" w:hAnsi="Arial" w:cs="Arial"/>
          <w:sz w:val="22"/>
          <w:szCs w:val="22"/>
          <w:lang w:val="es-CL" w:eastAsia="es-CL"/>
        </w:rPr>
        <w:t>mente</w:t>
      </w:r>
      <w:r w:rsidR="005C2028" w:rsidRPr="00252C1F">
        <w:rPr>
          <w:rFonts w:ascii="Arial" w:eastAsia="Calibri" w:hAnsi="Arial" w:cs="Arial"/>
          <w:sz w:val="22"/>
          <w:szCs w:val="22"/>
          <w:lang w:val="es-CL" w:eastAsia="es-CL"/>
        </w:rPr>
        <w:t xml:space="preserve">. </w:t>
      </w:r>
    </w:p>
    <w:p w:rsidR="003313E2" w:rsidRDefault="003313E2" w:rsidP="00752BC7">
      <w:pPr>
        <w:autoSpaceDE w:val="0"/>
        <w:autoSpaceDN w:val="0"/>
        <w:adjustRightInd w:val="0"/>
        <w:ind w:left="708" w:right="-93" w:hanging="708"/>
        <w:jc w:val="both"/>
        <w:rPr>
          <w:rFonts w:ascii="Arial" w:hAnsi="Arial" w:cs="Arial"/>
          <w:sz w:val="22"/>
          <w:szCs w:val="22"/>
          <w:lang w:val="es-CL" w:eastAsia="es-CL"/>
        </w:rPr>
      </w:pPr>
    </w:p>
    <w:p w:rsidR="00315326" w:rsidRPr="00252C1F" w:rsidRDefault="00315326" w:rsidP="003313E2">
      <w:pPr>
        <w:autoSpaceDE w:val="0"/>
        <w:autoSpaceDN w:val="0"/>
        <w:adjustRightInd w:val="0"/>
        <w:ind w:right="-93"/>
        <w:jc w:val="both"/>
        <w:rPr>
          <w:rFonts w:ascii="Arial" w:hAnsi="Arial" w:cs="Arial"/>
          <w:sz w:val="22"/>
          <w:szCs w:val="22"/>
          <w:lang w:val="es-CL" w:eastAsia="es-CL"/>
        </w:rPr>
      </w:pPr>
    </w:p>
    <w:p w:rsidR="00494020" w:rsidRPr="006B2E48" w:rsidRDefault="00494020" w:rsidP="00CF6808">
      <w:pPr>
        <w:numPr>
          <w:ilvl w:val="0"/>
          <w:numId w:val="33"/>
        </w:numPr>
        <w:autoSpaceDE w:val="0"/>
        <w:autoSpaceDN w:val="0"/>
        <w:adjustRightInd w:val="0"/>
        <w:ind w:left="0" w:right="-142" w:firstLine="360"/>
        <w:jc w:val="both"/>
        <w:rPr>
          <w:rFonts w:ascii="Arial" w:hAnsi="Arial" w:cs="Arial"/>
          <w:b/>
          <w:sz w:val="22"/>
          <w:szCs w:val="22"/>
          <w:lang w:val="es-CL" w:eastAsia="es-CL"/>
        </w:rPr>
      </w:pPr>
      <w:r w:rsidRPr="006B2E48">
        <w:rPr>
          <w:rFonts w:ascii="Arial" w:hAnsi="Arial" w:cs="Arial"/>
          <w:b/>
          <w:sz w:val="22"/>
          <w:szCs w:val="22"/>
          <w:lang w:val="es-CL" w:eastAsia="es-CL"/>
        </w:rPr>
        <w:t>Ampliación del plazo de invariabilidad señalado en los respectivos contratos vigentes.</w:t>
      </w:r>
    </w:p>
    <w:p w:rsidR="00955C1F" w:rsidRPr="00252C1F" w:rsidRDefault="00955C1F" w:rsidP="00596F98">
      <w:pPr>
        <w:autoSpaceDE w:val="0"/>
        <w:autoSpaceDN w:val="0"/>
        <w:adjustRightInd w:val="0"/>
        <w:ind w:left="1134" w:right="-142" w:hanging="425"/>
        <w:jc w:val="both"/>
        <w:rPr>
          <w:rFonts w:ascii="Arial" w:hAnsi="Arial" w:cs="Arial"/>
          <w:sz w:val="22"/>
          <w:szCs w:val="22"/>
          <w:lang w:val="es-CL" w:eastAsia="es-CL"/>
        </w:rPr>
      </w:pPr>
    </w:p>
    <w:p w:rsidR="00596F98" w:rsidRPr="006B2E48" w:rsidRDefault="00B67A4B" w:rsidP="00CF6808">
      <w:pPr>
        <w:autoSpaceDE w:val="0"/>
        <w:autoSpaceDN w:val="0"/>
        <w:adjustRightInd w:val="0"/>
        <w:ind w:right="-142" w:firstLine="360"/>
        <w:jc w:val="both"/>
        <w:rPr>
          <w:rFonts w:ascii="Arial" w:hAnsi="Arial" w:cs="Arial"/>
          <w:b/>
          <w:sz w:val="22"/>
          <w:szCs w:val="22"/>
          <w:lang w:val="es-CL" w:eastAsia="es-CL"/>
        </w:rPr>
      </w:pPr>
      <w:r w:rsidRPr="006B2E48">
        <w:rPr>
          <w:rFonts w:ascii="Arial" w:hAnsi="Arial" w:cs="Arial"/>
          <w:b/>
          <w:sz w:val="22"/>
          <w:szCs w:val="22"/>
          <w:lang w:val="es-CL" w:eastAsia="es-CL"/>
        </w:rPr>
        <w:t>c</w:t>
      </w:r>
      <w:r w:rsidR="00955C1F" w:rsidRPr="006B2E48">
        <w:rPr>
          <w:rFonts w:ascii="Arial" w:hAnsi="Arial" w:cs="Arial"/>
          <w:b/>
          <w:sz w:val="22"/>
          <w:szCs w:val="22"/>
          <w:lang w:val="es-CL" w:eastAsia="es-CL"/>
        </w:rPr>
        <w:t>.1.</w:t>
      </w:r>
      <w:r w:rsidR="00CE7A42">
        <w:rPr>
          <w:rFonts w:ascii="Arial" w:hAnsi="Arial" w:cs="Arial"/>
          <w:b/>
          <w:sz w:val="22"/>
          <w:szCs w:val="22"/>
          <w:lang w:val="es-CL" w:eastAsia="es-CL"/>
        </w:rPr>
        <w:t xml:space="preserve"> </w:t>
      </w:r>
      <w:r w:rsidR="00955C1F" w:rsidRPr="006B2E48">
        <w:rPr>
          <w:rFonts w:ascii="Arial" w:hAnsi="Arial" w:cs="Arial"/>
          <w:b/>
          <w:sz w:val="22"/>
          <w:szCs w:val="22"/>
          <w:lang w:val="es-CL" w:eastAsia="es-CL"/>
        </w:rPr>
        <w:t>Determinación del plazo ampliado</w:t>
      </w:r>
      <w:r w:rsidR="008A28E2">
        <w:rPr>
          <w:rFonts w:ascii="Arial" w:hAnsi="Arial" w:cs="Arial"/>
          <w:b/>
          <w:sz w:val="22"/>
          <w:szCs w:val="22"/>
          <w:lang w:val="es-CL" w:eastAsia="es-CL"/>
        </w:rPr>
        <w:t xml:space="preserve"> y</w:t>
      </w:r>
      <w:r w:rsidR="00AC1E5A">
        <w:rPr>
          <w:rFonts w:ascii="Arial" w:hAnsi="Arial" w:cs="Arial"/>
          <w:b/>
          <w:sz w:val="22"/>
          <w:szCs w:val="22"/>
          <w:lang w:val="es-CL" w:eastAsia="es-CL"/>
        </w:rPr>
        <w:t xml:space="preserve"> régimen tributario del remanente de invariabilidad del contrato original</w:t>
      </w:r>
      <w:r w:rsidR="00955C1F" w:rsidRPr="006B2E48">
        <w:rPr>
          <w:rFonts w:ascii="Arial" w:hAnsi="Arial" w:cs="Arial"/>
          <w:b/>
          <w:sz w:val="22"/>
          <w:szCs w:val="22"/>
          <w:lang w:val="es-CL" w:eastAsia="es-CL"/>
        </w:rPr>
        <w:t>.</w:t>
      </w:r>
    </w:p>
    <w:p w:rsidR="00955C1F" w:rsidRPr="00252C1F" w:rsidRDefault="00955C1F" w:rsidP="00955C1F">
      <w:pPr>
        <w:autoSpaceDE w:val="0"/>
        <w:autoSpaceDN w:val="0"/>
        <w:adjustRightInd w:val="0"/>
        <w:ind w:right="-93"/>
        <w:jc w:val="both"/>
        <w:rPr>
          <w:rFonts w:ascii="Arial" w:eastAsia="Calibri" w:hAnsi="Arial" w:cs="Arial"/>
          <w:sz w:val="22"/>
          <w:szCs w:val="22"/>
          <w:lang w:val="es-CL" w:eastAsia="es-CL"/>
        </w:rPr>
      </w:pPr>
    </w:p>
    <w:p w:rsidR="00955C1F" w:rsidRPr="00252C1F" w:rsidRDefault="00955C1F" w:rsidP="00955C1F">
      <w:pPr>
        <w:autoSpaceDE w:val="0"/>
        <w:autoSpaceDN w:val="0"/>
        <w:adjustRightInd w:val="0"/>
        <w:ind w:right="-93"/>
        <w:jc w:val="both"/>
        <w:rPr>
          <w:rFonts w:ascii="Arial" w:eastAsia="Calibri" w:hAnsi="Arial" w:cs="Arial"/>
          <w:sz w:val="22"/>
          <w:szCs w:val="22"/>
          <w:lang w:val="es-CL" w:eastAsia="es-CL"/>
        </w:rPr>
      </w:pPr>
      <w:r w:rsidRPr="00252C1F">
        <w:rPr>
          <w:rFonts w:ascii="Arial" w:eastAsia="Calibri" w:hAnsi="Arial" w:cs="Arial"/>
          <w:sz w:val="22"/>
          <w:szCs w:val="22"/>
          <w:lang w:val="es-CL" w:eastAsia="es-CL"/>
        </w:rPr>
        <w:t xml:space="preserve">De acuerdo al </w:t>
      </w:r>
      <w:r w:rsidRPr="00252C1F">
        <w:rPr>
          <w:rFonts w:ascii="Arial" w:hAnsi="Arial" w:cs="Arial"/>
          <w:sz w:val="22"/>
          <w:szCs w:val="22"/>
          <w:lang w:val="es-CL" w:eastAsia="es-CL"/>
        </w:rPr>
        <w:t>inciso 4°</w:t>
      </w:r>
      <w:r w:rsidR="00157C5E" w:rsidRPr="00252C1F">
        <w:rPr>
          <w:rFonts w:ascii="Arial" w:hAnsi="Arial" w:cs="Arial"/>
          <w:sz w:val="22"/>
          <w:szCs w:val="22"/>
          <w:lang w:val="es-CL" w:eastAsia="es-CL"/>
        </w:rPr>
        <w:t>,</w:t>
      </w:r>
      <w:r w:rsidRPr="00252C1F">
        <w:rPr>
          <w:rFonts w:ascii="Arial" w:hAnsi="Arial" w:cs="Arial"/>
          <w:sz w:val="22"/>
          <w:szCs w:val="22"/>
          <w:lang w:val="es-CL" w:eastAsia="es-CL"/>
        </w:rPr>
        <w:t xml:space="preserve"> del artículo 2° </w:t>
      </w:r>
      <w:r w:rsidR="00FC4B01" w:rsidRPr="00252C1F">
        <w:rPr>
          <w:rFonts w:ascii="Arial" w:hAnsi="Arial" w:cs="Arial"/>
          <w:sz w:val="22"/>
          <w:szCs w:val="22"/>
          <w:lang w:val="es-CL" w:eastAsia="es-CL"/>
        </w:rPr>
        <w:t>t</w:t>
      </w:r>
      <w:r w:rsidRPr="00252C1F">
        <w:rPr>
          <w:rFonts w:ascii="Arial" w:hAnsi="Arial" w:cs="Arial"/>
          <w:sz w:val="22"/>
          <w:szCs w:val="22"/>
          <w:lang w:val="es-CL" w:eastAsia="es-CL"/>
        </w:rPr>
        <w:t>ransitorio, de la Ley 20.469, e</w:t>
      </w:r>
      <w:r w:rsidRPr="00252C1F">
        <w:rPr>
          <w:rFonts w:ascii="Arial" w:eastAsia="Calibri" w:hAnsi="Arial" w:cs="Arial"/>
          <w:sz w:val="22"/>
          <w:szCs w:val="22"/>
          <w:lang w:val="es-CL" w:eastAsia="es-CL"/>
        </w:rPr>
        <w:t>l plazo de invariabilidad pactado en los contratos vigentes, imputado</w:t>
      </w:r>
      <w:r w:rsidR="006B2E48">
        <w:rPr>
          <w:rFonts w:ascii="Arial" w:eastAsia="Calibri" w:hAnsi="Arial" w:cs="Arial"/>
          <w:sz w:val="22"/>
          <w:szCs w:val="22"/>
          <w:lang w:val="es-CL" w:eastAsia="es-CL"/>
        </w:rPr>
        <w:t xml:space="preserve"> o deducido</w:t>
      </w:r>
      <w:r w:rsidRPr="00252C1F">
        <w:rPr>
          <w:rFonts w:ascii="Arial" w:eastAsia="Calibri" w:hAnsi="Arial" w:cs="Arial"/>
          <w:sz w:val="22"/>
          <w:szCs w:val="22"/>
          <w:lang w:val="es-CL" w:eastAsia="es-CL"/>
        </w:rPr>
        <w:t xml:space="preserve"> que fuere el plazo de </w:t>
      </w:r>
      <w:r w:rsidR="006B2E48">
        <w:rPr>
          <w:rFonts w:ascii="Arial" w:eastAsia="Calibri" w:hAnsi="Arial" w:cs="Arial"/>
          <w:sz w:val="22"/>
          <w:szCs w:val="22"/>
          <w:lang w:val="es-CL" w:eastAsia="es-CL"/>
        </w:rPr>
        <w:t>3</w:t>
      </w:r>
      <w:r w:rsidRPr="00252C1F">
        <w:rPr>
          <w:rFonts w:ascii="Arial" w:eastAsia="Calibri" w:hAnsi="Arial" w:cs="Arial"/>
          <w:sz w:val="22"/>
          <w:szCs w:val="22"/>
          <w:lang w:val="es-CL" w:eastAsia="es-CL"/>
        </w:rPr>
        <w:t xml:space="preserve"> años</w:t>
      </w:r>
      <w:r w:rsidR="003400A7" w:rsidRPr="00252C1F">
        <w:rPr>
          <w:rFonts w:ascii="Arial" w:eastAsia="Calibri" w:hAnsi="Arial" w:cs="Arial"/>
          <w:sz w:val="22"/>
          <w:szCs w:val="22"/>
          <w:lang w:val="es-CL" w:eastAsia="es-CL"/>
        </w:rPr>
        <w:t xml:space="preserve"> correspondiente a los ejercicios 2010, 2011 y 2012</w:t>
      </w:r>
      <w:r w:rsidRPr="00252C1F">
        <w:rPr>
          <w:rFonts w:ascii="Arial" w:eastAsia="Calibri" w:hAnsi="Arial" w:cs="Arial"/>
          <w:sz w:val="22"/>
          <w:szCs w:val="22"/>
          <w:lang w:val="es-CL" w:eastAsia="es-CL"/>
        </w:rPr>
        <w:t xml:space="preserve">, se ampliará por </w:t>
      </w:r>
      <w:r w:rsidR="00130C9A" w:rsidRPr="00252C1F">
        <w:rPr>
          <w:rFonts w:ascii="Arial" w:eastAsia="Calibri" w:hAnsi="Arial" w:cs="Arial"/>
          <w:sz w:val="22"/>
          <w:szCs w:val="22"/>
          <w:lang w:val="es-CL" w:eastAsia="es-CL"/>
        </w:rPr>
        <w:t>6</w:t>
      </w:r>
      <w:r w:rsidRPr="00252C1F">
        <w:rPr>
          <w:rFonts w:ascii="Arial" w:eastAsia="Calibri" w:hAnsi="Arial" w:cs="Arial"/>
          <w:sz w:val="22"/>
          <w:szCs w:val="22"/>
          <w:lang w:val="es-CL" w:eastAsia="es-CL"/>
        </w:rPr>
        <w:t xml:space="preserve"> </w:t>
      </w:r>
      <w:r w:rsidR="006B2E48" w:rsidRPr="001A6A24">
        <w:rPr>
          <w:rFonts w:ascii="Arial" w:eastAsia="Calibri" w:hAnsi="Arial" w:cs="Arial"/>
          <w:b/>
          <w:sz w:val="22"/>
          <w:szCs w:val="22"/>
          <w:lang w:val="es-CL" w:eastAsia="es-CL"/>
        </w:rPr>
        <w:t>AC</w:t>
      </w:r>
      <w:r w:rsidR="00074CD7" w:rsidRPr="00252C1F">
        <w:rPr>
          <w:rFonts w:ascii="Arial" w:eastAsia="Calibri" w:hAnsi="Arial" w:cs="Arial"/>
          <w:sz w:val="22"/>
          <w:szCs w:val="22"/>
          <w:lang w:val="es-CL" w:eastAsia="es-CL"/>
        </w:rPr>
        <w:t xml:space="preserve"> adicionales</w:t>
      </w:r>
      <w:r w:rsidRPr="00252C1F">
        <w:rPr>
          <w:rFonts w:ascii="Arial" w:eastAsia="Calibri" w:hAnsi="Arial" w:cs="Arial"/>
          <w:sz w:val="22"/>
          <w:szCs w:val="22"/>
          <w:lang w:val="es-CL" w:eastAsia="es-CL"/>
        </w:rPr>
        <w:t xml:space="preserve"> contados a continuación de aquél en que venza el actualmente en curso.</w:t>
      </w:r>
    </w:p>
    <w:p w:rsidR="00157C5E" w:rsidRPr="00252C1F" w:rsidRDefault="00157C5E" w:rsidP="00955C1F">
      <w:pPr>
        <w:autoSpaceDE w:val="0"/>
        <w:autoSpaceDN w:val="0"/>
        <w:adjustRightInd w:val="0"/>
        <w:ind w:right="-93"/>
        <w:jc w:val="both"/>
        <w:rPr>
          <w:rFonts w:ascii="Arial" w:eastAsia="Calibri" w:hAnsi="Arial" w:cs="Arial"/>
          <w:sz w:val="22"/>
          <w:szCs w:val="22"/>
          <w:lang w:val="es-CL" w:eastAsia="es-CL"/>
        </w:rPr>
      </w:pPr>
    </w:p>
    <w:p w:rsidR="002C36BB" w:rsidRPr="00252C1F" w:rsidRDefault="00157C5E" w:rsidP="002C36BB">
      <w:pPr>
        <w:autoSpaceDE w:val="0"/>
        <w:autoSpaceDN w:val="0"/>
        <w:adjustRightInd w:val="0"/>
        <w:ind w:right="-142"/>
        <w:jc w:val="both"/>
        <w:rPr>
          <w:rFonts w:ascii="Arial" w:hAnsi="Arial" w:cs="Arial"/>
          <w:sz w:val="22"/>
          <w:szCs w:val="22"/>
          <w:lang w:val="es-CL" w:eastAsia="es-CL"/>
        </w:rPr>
      </w:pPr>
      <w:r w:rsidRPr="00252C1F">
        <w:rPr>
          <w:rFonts w:ascii="Arial" w:eastAsia="Calibri" w:hAnsi="Arial" w:cs="Arial"/>
          <w:sz w:val="22"/>
          <w:szCs w:val="22"/>
          <w:lang w:val="es-CL" w:eastAsia="es-CL"/>
        </w:rPr>
        <w:t xml:space="preserve">Es decir, el </w:t>
      </w:r>
      <w:r w:rsidR="00756EC4" w:rsidRPr="00756EC4">
        <w:rPr>
          <w:rFonts w:ascii="Arial" w:eastAsia="Calibri" w:hAnsi="Arial" w:cs="Arial"/>
          <w:b/>
          <w:sz w:val="22"/>
          <w:szCs w:val="22"/>
          <w:lang w:val="es-CL" w:eastAsia="es-CL"/>
        </w:rPr>
        <w:t>“</w:t>
      </w:r>
      <w:r w:rsidR="00252C1F" w:rsidRPr="00756EC4">
        <w:rPr>
          <w:rFonts w:ascii="Arial" w:eastAsia="Calibri" w:hAnsi="Arial" w:cs="Arial"/>
          <w:b/>
          <w:sz w:val="22"/>
          <w:szCs w:val="22"/>
          <w:lang w:val="es-CL" w:eastAsia="es-CL"/>
        </w:rPr>
        <w:t>remanente</w:t>
      </w:r>
      <w:r w:rsidR="00756EC4" w:rsidRPr="00756EC4">
        <w:rPr>
          <w:rFonts w:ascii="Arial" w:eastAsia="Calibri" w:hAnsi="Arial" w:cs="Arial"/>
          <w:b/>
          <w:sz w:val="22"/>
          <w:szCs w:val="22"/>
          <w:lang w:val="es-CL" w:eastAsia="es-CL"/>
        </w:rPr>
        <w:t>”</w:t>
      </w:r>
      <w:r w:rsidR="00252C1F">
        <w:rPr>
          <w:rFonts w:ascii="Arial" w:eastAsia="Calibri" w:hAnsi="Arial" w:cs="Arial"/>
          <w:sz w:val="22"/>
          <w:szCs w:val="22"/>
          <w:lang w:val="es-CL" w:eastAsia="es-CL"/>
        </w:rPr>
        <w:t xml:space="preserve"> del </w:t>
      </w:r>
      <w:r w:rsidRPr="00252C1F">
        <w:rPr>
          <w:rFonts w:ascii="Arial" w:eastAsia="Calibri" w:hAnsi="Arial" w:cs="Arial"/>
          <w:sz w:val="22"/>
          <w:szCs w:val="22"/>
          <w:lang w:val="es-CL" w:eastAsia="es-CL"/>
        </w:rPr>
        <w:t>plazo de invariabilidad que corresponda</w:t>
      </w:r>
      <w:r w:rsidR="002C36BB" w:rsidRPr="00252C1F">
        <w:rPr>
          <w:rFonts w:ascii="Arial" w:eastAsia="Calibri" w:hAnsi="Arial" w:cs="Arial"/>
          <w:sz w:val="22"/>
          <w:szCs w:val="22"/>
          <w:lang w:val="es-CL" w:eastAsia="es-CL"/>
        </w:rPr>
        <w:t xml:space="preserve"> de acuerdo a la norma legal aplicable al contribuyente</w:t>
      </w:r>
      <w:r w:rsidRPr="00252C1F">
        <w:rPr>
          <w:rFonts w:ascii="Arial" w:eastAsia="Calibri" w:hAnsi="Arial" w:cs="Arial"/>
          <w:sz w:val="22"/>
          <w:szCs w:val="22"/>
          <w:lang w:val="es-CL" w:eastAsia="es-CL"/>
        </w:rPr>
        <w:t>, ya sea de 12 años</w:t>
      </w:r>
      <w:r w:rsidRPr="00252C1F">
        <w:rPr>
          <w:rFonts w:ascii="Arial" w:hAnsi="Arial" w:cs="Arial"/>
          <w:sz w:val="22"/>
          <w:szCs w:val="22"/>
          <w:lang w:val="es-CL" w:eastAsia="es-CL"/>
        </w:rPr>
        <w:t xml:space="preserve"> (Artículos 3° y 5° transitorio de la </w:t>
      </w:r>
      <w:r w:rsidR="00CC0175" w:rsidRPr="00252C1F">
        <w:rPr>
          <w:rFonts w:ascii="Arial" w:hAnsi="Arial" w:cs="Arial"/>
          <w:sz w:val="22"/>
          <w:szCs w:val="22"/>
          <w:lang w:val="es-CL" w:eastAsia="es-CL"/>
        </w:rPr>
        <w:t>L</w:t>
      </w:r>
      <w:r w:rsidRPr="00252C1F">
        <w:rPr>
          <w:rFonts w:ascii="Arial" w:hAnsi="Arial" w:cs="Arial"/>
          <w:sz w:val="22"/>
          <w:szCs w:val="22"/>
          <w:lang w:val="es-CL" w:eastAsia="es-CL"/>
        </w:rPr>
        <w:t xml:space="preserve">ey 20.026), </w:t>
      </w:r>
      <w:r w:rsidR="002C36BB" w:rsidRPr="00252C1F">
        <w:rPr>
          <w:rFonts w:ascii="Arial" w:hAnsi="Arial" w:cs="Arial"/>
          <w:sz w:val="22"/>
          <w:szCs w:val="22"/>
          <w:lang w:val="es-CL" w:eastAsia="es-CL"/>
        </w:rPr>
        <w:t>ó 15 años (Artículos 1°</w:t>
      </w:r>
      <w:r w:rsidR="00CC0175" w:rsidRPr="00252C1F">
        <w:rPr>
          <w:rFonts w:ascii="Arial" w:hAnsi="Arial" w:cs="Arial"/>
          <w:sz w:val="22"/>
          <w:szCs w:val="22"/>
          <w:lang w:val="es-CL" w:eastAsia="es-CL"/>
        </w:rPr>
        <w:t>,</w:t>
      </w:r>
      <w:r w:rsidR="006B2E48">
        <w:rPr>
          <w:rFonts w:ascii="Arial" w:hAnsi="Arial" w:cs="Arial"/>
          <w:sz w:val="22"/>
          <w:szCs w:val="22"/>
          <w:lang w:val="es-CL" w:eastAsia="es-CL"/>
        </w:rPr>
        <w:t xml:space="preserve">  N°1</w:t>
      </w:r>
      <w:r w:rsidR="00CC0175" w:rsidRPr="00252C1F">
        <w:rPr>
          <w:rFonts w:ascii="Arial" w:hAnsi="Arial" w:cs="Arial"/>
          <w:sz w:val="22"/>
          <w:szCs w:val="22"/>
          <w:lang w:val="es-CL" w:eastAsia="es-CL"/>
        </w:rPr>
        <w:t>,</w:t>
      </w:r>
      <w:r w:rsidR="002C36BB" w:rsidRPr="00252C1F">
        <w:rPr>
          <w:rFonts w:ascii="Arial" w:hAnsi="Arial" w:cs="Arial"/>
          <w:sz w:val="22"/>
          <w:szCs w:val="22"/>
          <w:lang w:val="es-CL" w:eastAsia="es-CL"/>
        </w:rPr>
        <w:t xml:space="preserve"> permanente</w:t>
      </w:r>
      <w:r w:rsidR="00CC0175" w:rsidRPr="00252C1F">
        <w:rPr>
          <w:rFonts w:ascii="Arial" w:hAnsi="Arial" w:cs="Arial"/>
          <w:sz w:val="22"/>
          <w:szCs w:val="22"/>
          <w:lang w:val="es-CL" w:eastAsia="es-CL"/>
        </w:rPr>
        <w:t>,</w:t>
      </w:r>
      <w:r w:rsidR="002C36BB" w:rsidRPr="00252C1F">
        <w:rPr>
          <w:rFonts w:ascii="Arial" w:hAnsi="Arial" w:cs="Arial"/>
          <w:sz w:val="22"/>
          <w:szCs w:val="22"/>
          <w:lang w:val="es-CL" w:eastAsia="es-CL"/>
        </w:rPr>
        <w:t xml:space="preserve"> y 4° </w:t>
      </w:r>
      <w:r w:rsidR="00CC0175" w:rsidRPr="00252C1F">
        <w:rPr>
          <w:rFonts w:ascii="Arial" w:hAnsi="Arial" w:cs="Arial"/>
          <w:sz w:val="22"/>
          <w:szCs w:val="22"/>
          <w:lang w:val="es-CL" w:eastAsia="es-CL"/>
        </w:rPr>
        <w:t>t</w:t>
      </w:r>
      <w:r w:rsidR="002C36BB" w:rsidRPr="00252C1F">
        <w:rPr>
          <w:rFonts w:ascii="Arial" w:hAnsi="Arial" w:cs="Arial"/>
          <w:sz w:val="22"/>
          <w:szCs w:val="22"/>
          <w:lang w:val="es-CL" w:eastAsia="es-CL"/>
        </w:rPr>
        <w:t xml:space="preserve">ransitorio de la Ley 20.026), </w:t>
      </w:r>
      <w:r w:rsidR="002C36BB" w:rsidRPr="00252C1F">
        <w:rPr>
          <w:rFonts w:ascii="Arial" w:eastAsia="Calibri" w:hAnsi="Arial" w:cs="Arial"/>
          <w:sz w:val="22"/>
          <w:szCs w:val="22"/>
          <w:lang w:val="es-CL" w:eastAsia="es-CL"/>
        </w:rPr>
        <w:t xml:space="preserve">se ampliará por </w:t>
      </w:r>
      <w:r w:rsidR="00CC0175" w:rsidRPr="00252C1F">
        <w:rPr>
          <w:rFonts w:ascii="Arial" w:eastAsia="Calibri" w:hAnsi="Arial" w:cs="Arial"/>
          <w:sz w:val="22"/>
          <w:szCs w:val="22"/>
          <w:lang w:val="es-CL" w:eastAsia="es-CL"/>
        </w:rPr>
        <w:t>6</w:t>
      </w:r>
      <w:r w:rsidR="002C36BB" w:rsidRPr="00252C1F">
        <w:rPr>
          <w:rFonts w:ascii="Arial" w:eastAsia="Calibri" w:hAnsi="Arial" w:cs="Arial"/>
          <w:sz w:val="22"/>
          <w:szCs w:val="22"/>
          <w:lang w:val="es-CL" w:eastAsia="es-CL"/>
        </w:rPr>
        <w:t xml:space="preserve"> </w:t>
      </w:r>
      <w:r w:rsidR="006B2E48" w:rsidRPr="004B2F1B">
        <w:rPr>
          <w:rFonts w:ascii="Arial" w:eastAsia="Calibri" w:hAnsi="Arial" w:cs="Arial"/>
          <w:b/>
          <w:sz w:val="22"/>
          <w:szCs w:val="22"/>
          <w:lang w:val="es-CL" w:eastAsia="es-CL"/>
        </w:rPr>
        <w:t>AC</w:t>
      </w:r>
      <w:r w:rsidR="002C36BB" w:rsidRPr="00252C1F">
        <w:rPr>
          <w:rFonts w:ascii="Arial" w:eastAsia="Calibri" w:hAnsi="Arial" w:cs="Arial"/>
          <w:sz w:val="22"/>
          <w:szCs w:val="22"/>
          <w:lang w:val="es-CL" w:eastAsia="es-CL"/>
        </w:rPr>
        <w:t xml:space="preserve"> contados a continuación de aquél en que venza el actualmente en curso.</w:t>
      </w:r>
      <w:r w:rsidR="00E85664" w:rsidRPr="00252C1F">
        <w:rPr>
          <w:rFonts w:ascii="Arial" w:eastAsia="Calibri" w:hAnsi="Arial" w:cs="Arial"/>
          <w:sz w:val="22"/>
          <w:szCs w:val="22"/>
          <w:lang w:val="es-CL" w:eastAsia="es-CL"/>
        </w:rPr>
        <w:t xml:space="preserve"> Debe tenerse presente que al</w:t>
      </w:r>
      <w:r w:rsidR="00130C9A" w:rsidRPr="00252C1F">
        <w:rPr>
          <w:rFonts w:ascii="Arial" w:eastAsia="Calibri" w:hAnsi="Arial" w:cs="Arial"/>
          <w:sz w:val="22"/>
          <w:szCs w:val="22"/>
          <w:lang w:val="es-CL" w:eastAsia="es-CL"/>
        </w:rPr>
        <w:t xml:space="preserve"> remanente del</w:t>
      </w:r>
      <w:r w:rsidR="00E85664" w:rsidRPr="00252C1F">
        <w:rPr>
          <w:rFonts w:ascii="Arial" w:eastAsia="Calibri" w:hAnsi="Arial" w:cs="Arial"/>
          <w:sz w:val="22"/>
          <w:szCs w:val="22"/>
          <w:lang w:val="es-CL" w:eastAsia="es-CL"/>
        </w:rPr>
        <w:t xml:space="preserve"> citado plazo de invariabilidad de 12 ó 15 años, se debe descontar los años calendarios 2010, 2011 y 2012</w:t>
      </w:r>
      <w:r w:rsidR="00130C9A" w:rsidRPr="00252C1F">
        <w:rPr>
          <w:rFonts w:ascii="Arial" w:eastAsia="Calibri" w:hAnsi="Arial" w:cs="Arial"/>
          <w:sz w:val="22"/>
          <w:szCs w:val="22"/>
          <w:lang w:val="es-CL" w:eastAsia="es-CL"/>
        </w:rPr>
        <w:t>, y luego adicionar la ampliación de 6 años comentada</w:t>
      </w:r>
      <w:r w:rsidR="00E85664" w:rsidRPr="00252C1F">
        <w:rPr>
          <w:rFonts w:ascii="Arial" w:eastAsia="Calibri" w:hAnsi="Arial" w:cs="Arial"/>
          <w:sz w:val="22"/>
          <w:szCs w:val="22"/>
          <w:lang w:val="es-CL" w:eastAsia="es-CL"/>
        </w:rPr>
        <w:t>.</w:t>
      </w:r>
      <w:r w:rsidR="00E20485">
        <w:rPr>
          <w:rFonts w:ascii="Arial" w:eastAsia="Calibri" w:hAnsi="Arial" w:cs="Arial"/>
          <w:sz w:val="22"/>
          <w:szCs w:val="22"/>
          <w:lang w:val="es-CL" w:eastAsia="es-CL"/>
        </w:rPr>
        <w:t xml:space="preserve"> Por ejemplo, si el contribuyente gozaba de un plazo de invariabilidad originalmente pactado de 15 años y al ejercer la opción restaban todavía </w:t>
      </w:r>
      <w:r w:rsidR="0051797C">
        <w:rPr>
          <w:rFonts w:ascii="Arial" w:eastAsia="Calibri" w:hAnsi="Arial" w:cs="Arial"/>
          <w:sz w:val="22"/>
          <w:szCs w:val="22"/>
          <w:lang w:val="es-CL" w:eastAsia="es-CL"/>
        </w:rPr>
        <w:t xml:space="preserve">10 años, al remanente de 10 años se imputan los ejercicios 2010, 2011 y 2012, de modo que el </w:t>
      </w:r>
      <w:r w:rsidR="00756EC4" w:rsidRPr="00756EC4">
        <w:rPr>
          <w:rFonts w:ascii="Arial" w:eastAsia="Calibri" w:hAnsi="Arial" w:cs="Arial"/>
          <w:b/>
          <w:sz w:val="22"/>
          <w:szCs w:val="22"/>
          <w:lang w:val="es-CL" w:eastAsia="es-CL"/>
        </w:rPr>
        <w:t>“</w:t>
      </w:r>
      <w:r w:rsidR="0051797C" w:rsidRPr="00756EC4">
        <w:rPr>
          <w:rFonts w:ascii="Arial" w:eastAsia="Calibri" w:hAnsi="Arial" w:cs="Arial"/>
          <w:b/>
          <w:sz w:val="22"/>
          <w:szCs w:val="22"/>
          <w:lang w:val="es-CL" w:eastAsia="es-CL"/>
        </w:rPr>
        <w:t>remanente</w:t>
      </w:r>
      <w:r w:rsidR="00756EC4" w:rsidRPr="00756EC4">
        <w:rPr>
          <w:rFonts w:ascii="Arial" w:eastAsia="Calibri" w:hAnsi="Arial" w:cs="Arial"/>
          <w:b/>
          <w:sz w:val="22"/>
          <w:szCs w:val="22"/>
          <w:lang w:val="es-CL" w:eastAsia="es-CL"/>
        </w:rPr>
        <w:t>”</w:t>
      </w:r>
      <w:r w:rsidR="0051797C">
        <w:rPr>
          <w:rFonts w:ascii="Arial" w:eastAsia="Calibri" w:hAnsi="Arial" w:cs="Arial"/>
          <w:sz w:val="22"/>
          <w:szCs w:val="22"/>
          <w:lang w:val="es-CL" w:eastAsia="es-CL"/>
        </w:rPr>
        <w:t xml:space="preserve"> final será de 7 </w:t>
      </w:r>
      <w:r w:rsidR="006B2E48" w:rsidRPr="001A6A24">
        <w:rPr>
          <w:rFonts w:ascii="Arial" w:eastAsia="Calibri" w:hAnsi="Arial" w:cs="Arial"/>
          <w:b/>
          <w:sz w:val="22"/>
          <w:szCs w:val="22"/>
          <w:lang w:val="es-CL" w:eastAsia="es-CL"/>
        </w:rPr>
        <w:t>AC</w:t>
      </w:r>
      <w:r w:rsidR="0051797C">
        <w:rPr>
          <w:rFonts w:ascii="Arial" w:eastAsia="Calibri" w:hAnsi="Arial" w:cs="Arial"/>
          <w:sz w:val="22"/>
          <w:szCs w:val="22"/>
          <w:lang w:val="es-CL" w:eastAsia="es-CL"/>
        </w:rPr>
        <w:t>, durante los cuales quedará sujeto al régimen que corresponda</w:t>
      </w:r>
      <w:r w:rsidR="00756EC4">
        <w:rPr>
          <w:rFonts w:ascii="Arial" w:eastAsia="Calibri" w:hAnsi="Arial" w:cs="Arial"/>
          <w:sz w:val="22"/>
          <w:szCs w:val="22"/>
          <w:lang w:val="es-CL" w:eastAsia="es-CL"/>
        </w:rPr>
        <w:t xml:space="preserve"> de acuerdo a su contrato</w:t>
      </w:r>
      <w:r w:rsidR="0051797C">
        <w:rPr>
          <w:rFonts w:ascii="Arial" w:eastAsia="Calibri" w:hAnsi="Arial" w:cs="Arial"/>
          <w:sz w:val="22"/>
          <w:szCs w:val="22"/>
          <w:lang w:val="es-CL" w:eastAsia="es-CL"/>
        </w:rPr>
        <w:t xml:space="preserve">. Vencidos esos 7 </w:t>
      </w:r>
      <w:r w:rsidR="006B2E48" w:rsidRPr="001A6A24">
        <w:rPr>
          <w:rFonts w:ascii="Arial" w:eastAsia="Calibri" w:hAnsi="Arial" w:cs="Arial"/>
          <w:b/>
          <w:sz w:val="22"/>
          <w:szCs w:val="22"/>
          <w:lang w:val="es-CL" w:eastAsia="es-CL"/>
        </w:rPr>
        <w:t>AC</w:t>
      </w:r>
      <w:r w:rsidR="0051797C">
        <w:rPr>
          <w:rFonts w:ascii="Arial" w:eastAsia="Calibri" w:hAnsi="Arial" w:cs="Arial"/>
          <w:sz w:val="22"/>
          <w:szCs w:val="22"/>
          <w:lang w:val="es-CL" w:eastAsia="es-CL"/>
        </w:rPr>
        <w:t>, el contribuyente podrá gozar de 6 años adicionales de invariabilidad</w:t>
      </w:r>
      <w:r w:rsidR="00AC1E5A">
        <w:rPr>
          <w:rFonts w:ascii="Arial" w:eastAsia="Calibri" w:hAnsi="Arial" w:cs="Arial"/>
          <w:sz w:val="22"/>
          <w:szCs w:val="22"/>
          <w:lang w:val="es-CL" w:eastAsia="es-CL"/>
        </w:rPr>
        <w:t xml:space="preserve"> </w:t>
      </w:r>
      <w:r w:rsidR="00AC1E5A">
        <w:rPr>
          <w:rFonts w:ascii="Arial" w:eastAsia="Calibri" w:hAnsi="Arial" w:cs="Arial"/>
          <w:b/>
          <w:sz w:val="22"/>
          <w:szCs w:val="22"/>
          <w:lang w:val="es-CL" w:eastAsia="es-CL"/>
        </w:rPr>
        <w:t>(p</w:t>
      </w:r>
      <w:r w:rsidR="00AC1E5A" w:rsidRPr="00AC1E5A">
        <w:rPr>
          <w:rFonts w:ascii="Arial" w:eastAsia="Calibri" w:hAnsi="Arial" w:cs="Arial"/>
          <w:b/>
          <w:sz w:val="22"/>
          <w:szCs w:val="22"/>
          <w:lang w:val="es-CL" w:eastAsia="es-CL"/>
        </w:rPr>
        <w:t>lazo ampliado)</w:t>
      </w:r>
      <w:r w:rsidR="0051797C">
        <w:rPr>
          <w:rFonts w:ascii="Arial" w:eastAsia="Calibri" w:hAnsi="Arial" w:cs="Arial"/>
          <w:sz w:val="22"/>
          <w:szCs w:val="22"/>
          <w:lang w:val="es-CL" w:eastAsia="es-CL"/>
        </w:rPr>
        <w:t xml:space="preserve">, pero </w:t>
      </w:r>
      <w:r w:rsidR="006A35A3">
        <w:rPr>
          <w:rFonts w:ascii="Arial" w:eastAsia="Calibri" w:hAnsi="Arial" w:cs="Arial"/>
          <w:sz w:val="22"/>
          <w:szCs w:val="22"/>
          <w:lang w:val="es-CL" w:eastAsia="es-CL"/>
        </w:rPr>
        <w:t>conforme</w:t>
      </w:r>
      <w:r w:rsidR="0051797C">
        <w:rPr>
          <w:rFonts w:ascii="Arial" w:eastAsia="Calibri" w:hAnsi="Arial" w:cs="Arial"/>
          <w:sz w:val="22"/>
          <w:szCs w:val="22"/>
          <w:lang w:val="es-CL" w:eastAsia="es-CL"/>
        </w:rPr>
        <w:t xml:space="preserve"> al régimen de los artículos 64 bis y 64 ter, de la LIR, </w:t>
      </w:r>
      <w:r w:rsidR="003F5C01">
        <w:rPr>
          <w:rFonts w:ascii="Arial" w:eastAsia="Calibri" w:hAnsi="Arial" w:cs="Arial"/>
          <w:sz w:val="22"/>
          <w:szCs w:val="22"/>
          <w:lang w:val="es-CL" w:eastAsia="es-CL"/>
        </w:rPr>
        <w:t>de acuerdo a sus textos establecidos por la Ley 20.469.</w:t>
      </w:r>
      <w:r w:rsidR="0051797C">
        <w:rPr>
          <w:rFonts w:ascii="Arial" w:eastAsia="Calibri" w:hAnsi="Arial" w:cs="Arial"/>
          <w:sz w:val="22"/>
          <w:szCs w:val="22"/>
          <w:lang w:val="es-CL" w:eastAsia="es-CL"/>
        </w:rPr>
        <w:t xml:space="preserve"> </w:t>
      </w:r>
    </w:p>
    <w:p w:rsidR="00955C1F" w:rsidRPr="00252C1F" w:rsidRDefault="00955C1F" w:rsidP="00955C1F">
      <w:pPr>
        <w:autoSpaceDE w:val="0"/>
        <w:autoSpaceDN w:val="0"/>
        <w:adjustRightInd w:val="0"/>
        <w:ind w:right="-93"/>
        <w:jc w:val="both"/>
        <w:rPr>
          <w:rFonts w:ascii="Arial" w:eastAsia="Calibri" w:hAnsi="Arial" w:cs="Arial"/>
          <w:sz w:val="22"/>
          <w:szCs w:val="22"/>
          <w:lang w:val="es-CL" w:eastAsia="es-CL"/>
        </w:rPr>
      </w:pPr>
    </w:p>
    <w:p w:rsidR="00E842B3" w:rsidRPr="00506EF8" w:rsidRDefault="00CC0175" w:rsidP="00CF6808">
      <w:pPr>
        <w:autoSpaceDE w:val="0"/>
        <w:autoSpaceDN w:val="0"/>
        <w:adjustRightInd w:val="0"/>
        <w:ind w:right="-93" w:firstLine="708"/>
        <w:jc w:val="both"/>
        <w:rPr>
          <w:rFonts w:ascii="Arial" w:eastAsia="Calibri" w:hAnsi="Arial" w:cs="Arial"/>
          <w:b/>
          <w:sz w:val="22"/>
          <w:szCs w:val="22"/>
          <w:lang w:val="es-CL" w:eastAsia="es-CL"/>
        </w:rPr>
      </w:pPr>
      <w:r w:rsidRPr="00506EF8">
        <w:rPr>
          <w:rFonts w:ascii="Arial" w:eastAsia="Calibri" w:hAnsi="Arial" w:cs="Arial"/>
          <w:b/>
          <w:sz w:val="22"/>
          <w:szCs w:val="22"/>
          <w:lang w:val="es-CL" w:eastAsia="es-CL"/>
        </w:rPr>
        <w:t>c</w:t>
      </w:r>
      <w:r w:rsidR="00E842B3" w:rsidRPr="00506EF8">
        <w:rPr>
          <w:rFonts w:ascii="Arial" w:eastAsia="Calibri" w:hAnsi="Arial" w:cs="Arial"/>
          <w:b/>
          <w:sz w:val="22"/>
          <w:szCs w:val="22"/>
          <w:lang w:val="es-CL" w:eastAsia="es-CL"/>
        </w:rPr>
        <w:t xml:space="preserve">.2. Régimen tributario aplicable durante </w:t>
      </w:r>
      <w:r w:rsidR="00AC1E5A">
        <w:rPr>
          <w:rFonts w:ascii="Arial" w:eastAsia="Calibri" w:hAnsi="Arial" w:cs="Arial"/>
          <w:b/>
          <w:sz w:val="22"/>
          <w:szCs w:val="22"/>
          <w:lang w:val="es-CL" w:eastAsia="es-CL"/>
        </w:rPr>
        <w:t>la ampliación d</w:t>
      </w:r>
      <w:r w:rsidR="00E842B3" w:rsidRPr="00506EF8">
        <w:rPr>
          <w:rFonts w:ascii="Arial" w:eastAsia="Calibri" w:hAnsi="Arial" w:cs="Arial"/>
          <w:b/>
          <w:sz w:val="22"/>
          <w:szCs w:val="22"/>
          <w:lang w:val="es-CL" w:eastAsia="es-CL"/>
        </w:rPr>
        <w:t>el plazo</w:t>
      </w:r>
      <w:r w:rsidR="00506EF8">
        <w:rPr>
          <w:rFonts w:ascii="Arial" w:eastAsia="Calibri" w:hAnsi="Arial" w:cs="Arial"/>
          <w:b/>
          <w:sz w:val="22"/>
          <w:szCs w:val="22"/>
          <w:lang w:val="es-CL" w:eastAsia="es-CL"/>
        </w:rPr>
        <w:t xml:space="preserve"> original</w:t>
      </w:r>
      <w:r w:rsidRPr="00506EF8">
        <w:rPr>
          <w:rFonts w:ascii="Arial" w:eastAsia="Calibri" w:hAnsi="Arial" w:cs="Arial"/>
          <w:b/>
          <w:sz w:val="22"/>
          <w:szCs w:val="22"/>
          <w:lang w:val="es-CL" w:eastAsia="es-CL"/>
        </w:rPr>
        <w:t xml:space="preserve"> de invariabilidad tributari</w:t>
      </w:r>
      <w:r w:rsidR="00506EF8">
        <w:rPr>
          <w:rFonts w:ascii="Arial" w:eastAsia="Calibri" w:hAnsi="Arial" w:cs="Arial"/>
          <w:b/>
          <w:sz w:val="22"/>
          <w:szCs w:val="22"/>
          <w:lang w:val="es-CL" w:eastAsia="es-CL"/>
        </w:rPr>
        <w:t>a</w:t>
      </w:r>
      <w:r w:rsidR="00E842B3" w:rsidRPr="00506EF8">
        <w:rPr>
          <w:rFonts w:ascii="Arial" w:eastAsia="Calibri" w:hAnsi="Arial" w:cs="Arial"/>
          <w:b/>
          <w:sz w:val="22"/>
          <w:szCs w:val="22"/>
          <w:lang w:val="es-CL" w:eastAsia="es-CL"/>
        </w:rPr>
        <w:t>.</w:t>
      </w:r>
    </w:p>
    <w:p w:rsidR="00E842B3" w:rsidRPr="00252C1F" w:rsidRDefault="00E842B3" w:rsidP="00955C1F">
      <w:pPr>
        <w:autoSpaceDE w:val="0"/>
        <w:autoSpaceDN w:val="0"/>
        <w:adjustRightInd w:val="0"/>
        <w:ind w:right="-93"/>
        <w:jc w:val="both"/>
        <w:rPr>
          <w:rFonts w:ascii="Arial" w:eastAsia="Calibri" w:hAnsi="Arial" w:cs="Arial"/>
          <w:sz w:val="22"/>
          <w:szCs w:val="22"/>
          <w:lang w:val="es-CL" w:eastAsia="es-CL"/>
        </w:rPr>
      </w:pPr>
    </w:p>
    <w:p w:rsidR="003A40CC" w:rsidRPr="00252C1F" w:rsidRDefault="00955C1F" w:rsidP="003A40CC">
      <w:pPr>
        <w:autoSpaceDE w:val="0"/>
        <w:autoSpaceDN w:val="0"/>
        <w:adjustRightInd w:val="0"/>
        <w:ind w:right="-93"/>
        <w:jc w:val="both"/>
        <w:rPr>
          <w:rFonts w:ascii="Arial" w:eastAsia="Calibri" w:hAnsi="Arial" w:cs="Arial"/>
          <w:sz w:val="22"/>
          <w:szCs w:val="22"/>
          <w:lang w:val="es-CL" w:eastAsia="es-CL"/>
        </w:rPr>
      </w:pPr>
      <w:r w:rsidRPr="00252C1F">
        <w:rPr>
          <w:rFonts w:ascii="Arial" w:eastAsia="Calibri" w:hAnsi="Arial" w:cs="Arial"/>
          <w:sz w:val="22"/>
          <w:szCs w:val="22"/>
          <w:lang w:val="es-CL" w:eastAsia="es-CL"/>
        </w:rPr>
        <w:t xml:space="preserve">Durante </w:t>
      </w:r>
      <w:r w:rsidR="00E842B3" w:rsidRPr="00252C1F">
        <w:rPr>
          <w:rFonts w:ascii="Arial" w:eastAsia="Calibri" w:hAnsi="Arial" w:cs="Arial"/>
          <w:sz w:val="22"/>
          <w:szCs w:val="22"/>
          <w:lang w:val="es-CL" w:eastAsia="es-CL"/>
        </w:rPr>
        <w:t xml:space="preserve">el </w:t>
      </w:r>
      <w:r w:rsidRPr="00252C1F">
        <w:rPr>
          <w:rFonts w:ascii="Arial" w:eastAsia="Calibri" w:hAnsi="Arial" w:cs="Arial"/>
          <w:sz w:val="22"/>
          <w:szCs w:val="22"/>
          <w:lang w:val="es-CL" w:eastAsia="es-CL"/>
        </w:rPr>
        <w:t>plazo</w:t>
      </w:r>
      <w:r w:rsidR="00AC1E5A">
        <w:rPr>
          <w:rFonts w:ascii="Arial" w:eastAsia="Calibri" w:hAnsi="Arial" w:cs="Arial"/>
          <w:sz w:val="22"/>
          <w:szCs w:val="22"/>
          <w:lang w:val="es-CL" w:eastAsia="es-CL"/>
        </w:rPr>
        <w:t xml:space="preserve"> ampliado</w:t>
      </w:r>
      <w:r w:rsidRPr="00252C1F">
        <w:rPr>
          <w:rFonts w:ascii="Arial" w:eastAsia="Calibri" w:hAnsi="Arial" w:cs="Arial"/>
          <w:sz w:val="22"/>
          <w:szCs w:val="22"/>
          <w:lang w:val="es-CL" w:eastAsia="es-CL"/>
        </w:rPr>
        <w:t xml:space="preserve"> </w:t>
      </w:r>
      <w:r w:rsidR="00D844DA" w:rsidRPr="00252C1F">
        <w:rPr>
          <w:rFonts w:ascii="Arial" w:eastAsia="Calibri" w:hAnsi="Arial" w:cs="Arial"/>
          <w:sz w:val="22"/>
          <w:szCs w:val="22"/>
          <w:lang w:val="es-CL" w:eastAsia="es-CL"/>
        </w:rPr>
        <w:t xml:space="preserve">indicado en la letra </w:t>
      </w:r>
      <w:r w:rsidR="00506EF8" w:rsidRPr="00506EF8">
        <w:rPr>
          <w:rFonts w:ascii="Arial" w:eastAsia="Calibri" w:hAnsi="Arial" w:cs="Arial"/>
          <w:b/>
          <w:sz w:val="22"/>
          <w:szCs w:val="22"/>
          <w:lang w:val="es-CL" w:eastAsia="es-CL"/>
        </w:rPr>
        <w:t>(</w:t>
      </w:r>
      <w:r w:rsidR="009118FC" w:rsidRPr="00506EF8">
        <w:rPr>
          <w:rFonts w:ascii="Arial" w:eastAsia="Calibri" w:hAnsi="Arial" w:cs="Arial"/>
          <w:b/>
          <w:sz w:val="22"/>
          <w:szCs w:val="22"/>
          <w:lang w:val="es-CL" w:eastAsia="es-CL"/>
        </w:rPr>
        <w:t>c</w:t>
      </w:r>
      <w:r w:rsidR="00E842B3" w:rsidRPr="00506EF8">
        <w:rPr>
          <w:rFonts w:ascii="Arial" w:eastAsia="Calibri" w:hAnsi="Arial" w:cs="Arial"/>
          <w:b/>
          <w:sz w:val="22"/>
          <w:szCs w:val="22"/>
          <w:lang w:val="es-CL" w:eastAsia="es-CL"/>
        </w:rPr>
        <w:t>.1.</w:t>
      </w:r>
      <w:r w:rsidR="00506EF8" w:rsidRPr="00506EF8">
        <w:rPr>
          <w:rFonts w:ascii="Arial" w:eastAsia="Calibri" w:hAnsi="Arial" w:cs="Arial"/>
          <w:b/>
          <w:sz w:val="22"/>
          <w:szCs w:val="22"/>
          <w:lang w:val="es-CL" w:eastAsia="es-CL"/>
        </w:rPr>
        <w:t>)</w:t>
      </w:r>
      <w:r w:rsidR="00E842B3" w:rsidRPr="00252C1F">
        <w:rPr>
          <w:rFonts w:ascii="Arial" w:eastAsia="Calibri" w:hAnsi="Arial" w:cs="Arial"/>
          <w:sz w:val="22"/>
          <w:szCs w:val="22"/>
          <w:lang w:val="es-CL" w:eastAsia="es-CL"/>
        </w:rPr>
        <w:t xml:space="preserve"> anterior </w:t>
      </w:r>
      <w:r w:rsidR="00D844DA" w:rsidRPr="00252C1F">
        <w:rPr>
          <w:rFonts w:ascii="Arial" w:eastAsia="Calibri" w:hAnsi="Arial" w:cs="Arial"/>
          <w:sz w:val="22"/>
          <w:szCs w:val="22"/>
          <w:lang w:val="es-CL" w:eastAsia="es-CL"/>
        </w:rPr>
        <w:t>s</w:t>
      </w:r>
      <w:r w:rsidRPr="00252C1F">
        <w:rPr>
          <w:rFonts w:ascii="Arial" w:eastAsia="Calibri" w:hAnsi="Arial" w:cs="Arial"/>
          <w:sz w:val="22"/>
          <w:szCs w:val="22"/>
          <w:lang w:val="es-CL" w:eastAsia="es-CL"/>
        </w:rPr>
        <w:t>e aplicará el régimen tributario contemplado en los artículos 64</w:t>
      </w:r>
      <w:r w:rsidR="00E842B3" w:rsidRPr="00252C1F">
        <w:rPr>
          <w:rFonts w:ascii="Arial" w:eastAsia="Calibri" w:hAnsi="Arial" w:cs="Arial"/>
          <w:sz w:val="22"/>
          <w:szCs w:val="22"/>
          <w:lang w:val="es-CL" w:eastAsia="es-CL"/>
        </w:rPr>
        <w:t xml:space="preserve"> </w:t>
      </w:r>
      <w:r w:rsidRPr="00252C1F">
        <w:rPr>
          <w:rFonts w:ascii="Arial" w:eastAsia="Calibri" w:hAnsi="Arial" w:cs="Arial"/>
          <w:sz w:val="22"/>
          <w:szCs w:val="22"/>
          <w:lang w:val="es-CL" w:eastAsia="es-CL"/>
        </w:rPr>
        <w:t xml:space="preserve">bis y 64 ter de la </w:t>
      </w:r>
      <w:r w:rsidR="000725D1" w:rsidRPr="00252C1F">
        <w:rPr>
          <w:rFonts w:ascii="Arial" w:eastAsia="Calibri" w:hAnsi="Arial" w:cs="Arial"/>
          <w:sz w:val="22"/>
          <w:szCs w:val="22"/>
          <w:lang w:val="es-CL" w:eastAsia="es-CL"/>
        </w:rPr>
        <w:t>LIR</w:t>
      </w:r>
      <w:r w:rsidRPr="00252C1F">
        <w:rPr>
          <w:rFonts w:ascii="Arial" w:eastAsia="Calibri" w:hAnsi="Arial" w:cs="Arial"/>
          <w:sz w:val="22"/>
          <w:szCs w:val="22"/>
          <w:lang w:val="es-CL" w:eastAsia="es-CL"/>
        </w:rPr>
        <w:t xml:space="preserve">, según </w:t>
      </w:r>
      <w:r w:rsidR="00756EC4">
        <w:rPr>
          <w:rFonts w:ascii="Arial" w:eastAsia="Calibri" w:hAnsi="Arial" w:cs="Arial"/>
          <w:sz w:val="22"/>
          <w:szCs w:val="22"/>
          <w:lang w:val="es-CL" w:eastAsia="es-CL"/>
        </w:rPr>
        <w:t xml:space="preserve">su </w:t>
      </w:r>
      <w:r w:rsidRPr="00252C1F">
        <w:rPr>
          <w:rFonts w:ascii="Arial" w:eastAsia="Calibri" w:hAnsi="Arial" w:cs="Arial"/>
          <w:sz w:val="22"/>
          <w:szCs w:val="22"/>
          <w:lang w:val="es-CL" w:eastAsia="es-CL"/>
        </w:rPr>
        <w:t xml:space="preserve">texto </w:t>
      </w:r>
      <w:r w:rsidR="00756EC4">
        <w:rPr>
          <w:rFonts w:ascii="Arial" w:eastAsia="Calibri" w:hAnsi="Arial" w:cs="Arial"/>
          <w:sz w:val="22"/>
          <w:szCs w:val="22"/>
          <w:lang w:val="es-CL" w:eastAsia="es-CL"/>
        </w:rPr>
        <w:t>fija</w:t>
      </w:r>
      <w:r w:rsidRPr="00252C1F">
        <w:rPr>
          <w:rFonts w:ascii="Arial" w:eastAsia="Calibri" w:hAnsi="Arial" w:cs="Arial"/>
          <w:sz w:val="22"/>
          <w:szCs w:val="22"/>
          <w:lang w:val="es-CL" w:eastAsia="es-CL"/>
        </w:rPr>
        <w:t xml:space="preserve">do por </w:t>
      </w:r>
      <w:r w:rsidR="003A40CC" w:rsidRPr="00252C1F">
        <w:rPr>
          <w:rFonts w:ascii="Arial" w:eastAsia="Calibri" w:hAnsi="Arial" w:cs="Arial"/>
          <w:sz w:val="22"/>
          <w:szCs w:val="22"/>
          <w:lang w:val="es-CL" w:eastAsia="es-CL"/>
        </w:rPr>
        <w:t>la</w:t>
      </w:r>
      <w:r w:rsidRPr="00252C1F">
        <w:rPr>
          <w:rFonts w:ascii="Arial" w:eastAsia="Calibri" w:hAnsi="Arial" w:cs="Arial"/>
          <w:sz w:val="22"/>
          <w:szCs w:val="22"/>
          <w:lang w:val="es-CL" w:eastAsia="es-CL"/>
        </w:rPr>
        <w:t xml:space="preserve"> </w:t>
      </w:r>
      <w:r w:rsidR="009118FC" w:rsidRPr="00252C1F">
        <w:rPr>
          <w:rFonts w:ascii="Arial" w:eastAsia="Calibri" w:hAnsi="Arial" w:cs="Arial"/>
          <w:sz w:val="22"/>
          <w:szCs w:val="22"/>
          <w:lang w:val="es-CL" w:eastAsia="es-CL"/>
        </w:rPr>
        <w:t>L</w:t>
      </w:r>
      <w:r w:rsidRPr="00252C1F">
        <w:rPr>
          <w:rFonts w:ascii="Arial" w:eastAsia="Calibri" w:hAnsi="Arial" w:cs="Arial"/>
          <w:sz w:val="22"/>
          <w:szCs w:val="22"/>
          <w:lang w:val="es-CL" w:eastAsia="es-CL"/>
        </w:rPr>
        <w:t>ey</w:t>
      </w:r>
      <w:r w:rsidR="003A40CC" w:rsidRPr="00252C1F">
        <w:rPr>
          <w:rFonts w:ascii="Arial" w:eastAsia="Calibri" w:hAnsi="Arial" w:cs="Arial"/>
          <w:sz w:val="22"/>
          <w:szCs w:val="22"/>
          <w:lang w:val="es-CL" w:eastAsia="es-CL"/>
        </w:rPr>
        <w:t xml:space="preserve"> 20.469</w:t>
      </w:r>
      <w:r w:rsidR="0041285A" w:rsidRPr="00252C1F">
        <w:rPr>
          <w:rFonts w:ascii="Arial" w:eastAsia="Calibri" w:hAnsi="Arial" w:cs="Arial"/>
          <w:sz w:val="22"/>
          <w:szCs w:val="22"/>
          <w:lang w:val="es-CL" w:eastAsia="es-CL"/>
        </w:rPr>
        <w:t xml:space="preserve">, y cuyas instrucciones se contienen en el </w:t>
      </w:r>
      <w:r w:rsidR="0041285A" w:rsidRPr="00756EC4">
        <w:rPr>
          <w:rFonts w:ascii="Arial" w:eastAsia="Calibri" w:hAnsi="Arial" w:cs="Arial"/>
          <w:b/>
          <w:sz w:val="22"/>
          <w:szCs w:val="22"/>
          <w:lang w:val="es-CL" w:eastAsia="es-CL"/>
        </w:rPr>
        <w:t xml:space="preserve">Capítulo </w:t>
      </w:r>
      <w:r w:rsidR="00AC1E5A">
        <w:rPr>
          <w:rFonts w:ascii="Arial" w:eastAsia="Calibri" w:hAnsi="Arial" w:cs="Arial"/>
          <w:b/>
          <w:sz w:val="22"/>
          <w:szCs w:val="22"/>
          <w:lang w:val="es-CL" w:eastAsia="es-CL"/>
        </w:rPr>
        <w:t>I</w:t>
      </w:r>
      <w:r w:rsidR="0041285A" w:rsidRPr="00756EC4">
        <w:rPr>
          <w:rFonts w:ascii="Arial" w:eastAsia="Calibri" w:hAnsi="Arial" w:cs="Arial"/>
          <w:b/>
          <w:sz w:val="22"/>
          <w:szCs w:val="22"/>
          <w:lang w:val="es-CL" w:eastAsia="es-CL"/>
        </w:rPr>
        <w:t>II.1.</w:t>
      </w:r>
      <w:r w:rsidR="0041285A" w:rsidRPr="00252C1F">
        <w:rPr>
          <w:rFonts w:ascii="Arial" w:eastAsia="Calibri" w:hAnsi="Arial" w:cs="Arial"/>
          <w:sz w:val="22"/>
          <w:szCs w:val="22"/>
          <w:lang w:val="es-CL" w:eastAsia="es-CL"/>
        </w:rPr>
        <w:t xml:space="preserve"> de esta Circular</w:t>
      </w:r>
      <w:r w:rsidRPr="00252C1F">
        <w:rPr>
          <w:rFonts w:ascii="Arial" w:eastAsia="Calibri" w:hAnsi="Arial" w:cs="Arial"/>
          <w:sz w:val="22"/>
          <w:szCs w:val="22"/>
          <w:lang w:val="es-CL" w:eastAsia="es-CL"/>
        </w:rPr>
        <w:t xml:space="preserve">. </w:t>
      </w:r>
    </w:p>
    <w:p w:rsidR="003A40CC" w:rsidRDefault="003A40CC" w:rsidP="003A40CC">
      <w:pPr>
        <w:autoSpaceDE w:val="0"/>
        <w:autoSpaceDN w:val="0"/>
        <w:adjustRightInd w:val="0"/>
        <w:ind w:right="-93"/>
        <w:jc w:val="both"/>
        <w:rPr>
          <w:rFonts w:ascii="Arial" w:eastAsia="Calibri" w:hAnsi="Arial" w:cs="Arial"/>
          <w:sz w:val="22"/>
          <w:szCs w:val="22"/>
          <w:lang w:val="es-CL" w:eastAsia="es-CL"/>
        </w:rPr>
      </w:pPr>
    </w:p>
    <w:p w:rsidR="00315326" w:rsidRPr="00252C1F" w:rsidRDefault="00315326" w:rsidP="003A40CC">
      <w:pPr>
        <w:autoSpaceDE w:val="0"/>
        <w:autoSpaceDN w:val="0"/>
        <w:adjustRightInd w:val="0"/>
        <w:ind w:right="-93"/>
        <w:jc w:val="both"/>
        <w:rPr>
          <w:rFonts w:ascii="Arial" w:eastAsia="Calibri" w:hAnsi="Arial" w:cs="Arial"/>
          <w:sz w:val="22"/>
          <w:szCs w:val="22"/>
          <w:lang w:val="es-CL" w:eastAsia="es-CL"/>
        </w:rPr>
      </w:pPr>
    </w:p>
    <w:p w:rsidR="003A40CC" w:rsidRPr="00252C1F" w:rsidRDefault="0044103D" w:rsidP="00CF6808">
      <w:pPr>
        <w:numPr>
          <w:ilvl w:val="0"/>
          <w:numId w:val="33"/>
        </w:numPr>
        <w:autoSpaceDE w:val="0"/>
        <w:autoSpaceDN w:val="0"/>
        <w:adjustRightInd w:val="0"/>
        <w:ind w:right="-93"/>
        <w:jc w:val="both"/>
        <w:rPr>
          <w:rFonts w:ascii="Arial" w:eastAsia="Calibri" w:hAnsi="Arial" w:cs="Arial"/>
          <w:sz w:val="22"/>
          <w:szCs w:val="22"/>
          <w:lang w:val="es-CL" w:eastAsia="es-CL"/>
        </w:rPr>
      </w:pPr>
      <w:r>
        <w:rPr>
          <w:rFonts w:ascii="Arial" w:eastAsia="Calibri" w:hAnsi="Arial" w:cs="Arial"/>
          <w:b/>
          <w:sz w:val="22"/>
          <w:szCs w:val="22"/>
          <w:lang w:val="es-CL" w:eastAsia="es-CL"/>
        </w:rPr>
        <w:t>Régimen tributario aplicable a los ejercicios siguientes al del vencimiento de</w:t>
      </w:r>
      <w:r w:rsidR="003A40CC" w:rsidRPr="00756EC4">
        <w:rPr>
          <w:rFonts w:ascii="Arial" w:eastAsia="Calibri" w:hAnsi="Arial" w:cs="Arial"/>
          <w:b/>
          <w:sz w:val="22"/>
          <w:szCs w:val="22"/>
          <w:lang w:val="es-CL" w:eastAsia="es-CL"/>
        </w:rPr>
        <w:t>l plazo ampliado señalado en la letra (</w:t>
      </w:r>
      <w:r w:rsidR="00506EF8" w:rsidRPr="00756EC4">
        <w:rPr>
          <w:rFonts w:ascii="Arial" w:eastAsia="Calibri" w:hAnsi="Arial" w:cs="Arial"/>
          <w:b/>
          <w:sz w:val="22"/>
          <w:szCs w:val="22"/>
          <w:lang w:val="es-CL" w:eastAsia="es-CL"/>
        </w:rPr>
        <w:t>c</w:t>
      </w:r>
      <w:r w:rsidR="003A40CC" w:rsidRPr="00756EC4">
        <w:rPr>
          <w:rFonts w:ascii="Arial" w:eastAsia="Calibri" w:hAnsi="Arial" w:cs="Arial"/>
          <w:b/>
          <w:sz w:val="22"/>
          <w:szCs w:val="22"/>
          <w:lang w:val="es-CL" w:eastAsia="es-CL"/>
        </w:rPr>
        <w:t>) precedente.</w:t>
      </w:r>
    </w:p>
    <w:p w:rsidR="003A40CC" w:rsidRPr="00252C1F" w:rsidRDefault="003A40CC" w:rsidP="003A40CC">
      <w:pPr>
        <w:autoSpaceDE w:val="0"/>
        <w:autoSpaceDN w:val="0"/>
        <w:adjustRightInd w:val="0"/>
        <w:ind w:right="-93"/>
        <w:jc w:val="both"/>
        <w:rPr>
          <w:rFonts w:ascii="Arial" w:eastAsia="Calibri" w:hAnsi="Arial" w:cs="Arial"/>
          <w:sz w:val="22"/>
          <w:szCs w:val="22"/>
          <w:lang w:val="es-CL" w:eastAsia="es-CL"/>
        </w:rPr>
      </w:pPr>
    </w:p>
    <w:p w:rsidR="00B846FD" w:rsidRPr="00252C1F" w:rsidRDefault="00955C1F" w:rsidP="003A40CC">
      <w:pPr>
        <w:autoSpaceDE w:val="0"/>
        <w:autoSpaceDN w:val="0"/>
        <w:adjustRightInd w:val="0"/>
        <w:ind w:right="-93"/>
        <w:jc w:val="both"/>
        <w:rPr>
          <w:rFonts w:ascii="Arial" w:hAnsi="Arial" w:cs="Arial"/>
          <w:sz w:val="22"/>
          <w:szCs w:val="22"/>
          <w:lang w:val="es-CL" w:eastAsia="es-CL"/>
        </w:rPr>
      </w:pPr>
      <w:r w:rsidRPr="00252C1F">
        <w:rPr>
          <w:rFonts w:ascii="Arial" w:eastAsia="Calibri" w:hAnsi="Arial" w:cs="Arial"/>
          <w:sz w:val="22"/>
          <w:szCs w:val="22"/>
          <w:lang w:val="es-CL" w:eastAsia="es-CL"/>
        </w:rPr>
        <w:t>Una vez vencid</w:t>
      </w:r>
      <w:r w:rsidR="00CE5FF6" w:rsidRPr="00252C1F">
        <w:rPr>
          <w:rFonts w:ascii="Arial" w:eastAsia="Calibri" w:hAnsi="Arial" w:cs="Arial"/>
          <w:sz w:val="22"/>
          <w:szCs w:val="22"/>
          <w:lang w:val="es-CL" w:eastAsia="es-CL"/>
        </w:rPr>
        <w:t>o</w:t>
      </w:r>
      <w:r w:rsidRPr="00252C1F">
        <w:rPr>
          <w:rFonts w:ascii="Arial" w:eastAsia="Calibri" w:hAnsi="Arial" w:cs="Arial"/>
          <w:sz w:val="22"/>
          <w:szCs w:val="22"/>
          <w:lang w:val="es-CL" w:eastAsia="es-CL"/>
        </w:rPr>
        <w:t xml:space="preserve"> </w:t>
      </w:r>
      <w:r w:rsidR="00CE5FF6" w:rsidRPr="00252C1F">
        <w:rPr>
          <w:rFonts w:ascii="Arial" w:eastAsia="Calibri" w:hAnsi="Arial" w:cs="Arial"/>
          <w:sz w:val="22"/>
          <w:szCs w:val="22"/>
          <w:lang w:val="es-CL" w:eastAsia="es-CL"/>
        </w:rPr>
        <w:t>el plazo</w:t>
      </w:r>
      <w:r w:rsidRPr="00252C1F">
        <w:rPr>
          <w:rFonts w:ascii="Arial" w:eastAsia="Calibri" w:hAnsi="Arial" w:cs="Arial"/>
          <w:sz w:val="22"/>
          <w:szCs w:val="22"/>
          <w:lang w:val="es-CL" w:eastAsia="es-CL"/>
        </w:rPr>
        <w:t xml:space="preserve"> </w:t>
      </w:r>
      <w:r w:rsidR="00DD108D">
        <w:rPr>
          <w:rFonts w:ascii="Arial" w:eastAsia="Calibri" w:hAnsi="Arial" w:cs="Arial"/>
          <w:sz w:val="22"/>
          <w:szCs w:val="22"/>
          <w:lang w:val="es-CL" w:eastAsia="es-CL"/>
        </w:rPr>
        <w:t>ampliado</w:t>
      </w:r>
      <w:r w:rsidR="00E71726">
        <w:rPr>
          <w:rFonts w:ascii="Arial" w:eastAsia="Calibri" w:hAnsi="Arial" w:cs="Arial"/>
          <w:sz w:val="22"/>
          <w:szCs w:val="22"/>
          <w:lang w:val="es-CL" w:eastAsia="es-CL"/>
        </w:rPr>
        <w:t xml:space="preserve"> de invariabilidad</w:t>
      </w:r>
      <w:r w:rsidRPr="00252C1F">
        <w:rPr>
          <w:rFonts w:ascii="Arial" w:eastAsia="Calibri" w:hAnsi="Arial" w:cs="Arial"/>
          <w:sz w:val="22"/>
          <w:szCs w:val="22"/>
          <w:lang w:val="es-CL" w:eastAsia="es-CL"/>
        </w:rPr>
        <w:t>, los contribuyentes quedarán</w:t>
      </w:r>
      <w:r w:rsidR="003A40CC" w:rsidRPr="00252C1F">
        <w:rPr>
          <w:rFonts w:ascii="Arial" w:eastAsia="Calibri" w:hAnsi="Arial" w:cs="Arial"/>
          <w:sz w:val="22"/>
          <w:szCs w:val="22"/>
          <w:lang w:val="es-CL" w:eastAsia="es-CL"/>
        </w:rPr>
        <w:t xml:space="preserve"> </w:t>
      </w:r>
      <w:r w:rsidRPr="00252C1F">
        <w:rPr>
          <w:rFonts w:ascii="Arial" w:eastAsia="Calibri" w:hAnsi="Arial" w:cs="Arial"/>
          <w:sz w:val="22"/>
          <w:szCs w:val="22"/>
          <w:lang w:val="es-CL" w:eastAsia="es-CL"/>
        </w:rPr>
        <w:t xml:space="preserve">sometidos al régimen general de tributación </w:t>
      </w:r>
      <w:r w:rsidR="00CF3F36" w:rsidRPr="00252C1F">
        <w:rPr>
          <w:rFonts w:ascii="Arial" w:eastAsia="Calibri" w:hAnsi="Arial" w:cs="Arial"/>
          <w:sz w:val="22"/>
          <w:szCs w:val="22"/>
          <w:lang w:val="es-CL" w:eastAsia="es-CL"/>
        </w:rPr>
        <w:t xml:space="preserve">entonces </w:t>
      </w:r>
      <w:r w:rsidRPr="00252C1F">
        <w:rPr>
          <w:rFonts w:ascii="Arial" w:eastAsia="Calibri" w:hAnsi="Arial" w:cs="Arial"/>
          <w:sz w:val="22"/>
          <w:szCs w:val="22"/>
          <w:lang w:val="es-CL" w:eastAsia="es-CL"/>
        </w:rPr>
        <w:t>vigente.</w:t>
      </w:r>
      <w:r w:rsidR="00981DE9" w:rsidRPr="00252C1F">
        <w:rPr>
          <w:rFonts w:ascii="Arial" w:eastAsia="Calibri" w:hAnsi="Arial" w:cs="Arial"/>
          <w:sz w:val="22"/>
          <w:szCs w:val="22"/>
          <w:lang w:val="es-CL" w:eastAsia="es-CL"/>
        </w:rPr>
        <w:t xml:space="preserve"> Es decir, los contribuyentes que hubieren optado por la aplicación de las normas contenidas en los artículos 64 bis y 64 ter de la LIR, bajo las modalidades previstas en el artículo 2° transitorio de la Ley 20.46</w:t>
      </w:r>
      <w:r w:rsidR="00602131" w:rsidRPr="00252C1F">
        <w:rPr>
          <w:rFonts w:ascii="Arial" w:eastAsia="Calibri" w:hAnsi="Arial" w:cs="Arial"/>
          <w:sz w:val="22"/>
          <w:szCs w:val="22"/>
          <w:lang w:val="es-CL" w:eastAsia="es-CL"/>
        </w:rPr>
        <w:t>9</w:t>
      </w:r>
      <w:r w:rsidR="00981DE9" w:rsidRPr="00252C1F">
        <w:rPr>
          <w:rFonts w:ascii="Arial" w:eastAsia="Calibri" w:hAnsi="Arial" w:cs="Arial"/>
          <w:sz w:val="22"/>
          <w:szCs w:val="22"/>
          <w:lang w:val="es-CL" w:eastAsia="es-CL"/>
        </w:rPr>
        <w:t xml:space="preserve">, al término de la </w:t>
      </w:r>
      <w:r w:rsidR="00DD108D">
        <w:rPr>
          <w:rFonts w:ascii="Arial" w:eastAsia="Calibri" w:hAnsi="Arial" w:cs="Arial"/>
          <w:sz w:val="22"/>
          <w:szCs w:val="22"/>
          <w:lang w:val="es-CL" w:eastAsia="es-CL"/>
        </w:rPr>
        <w:t>ampliación</w:t>
      </w:r>
      <w:r w:rsidR="00981DE9" w:rsidRPr="00252C1F">
        <w:rPr>
          <w:rFonts w:ascii="Arial" w:eastAsia="Calibri" w:hAnsi="Arial" w:cs="Arial"/>
          <w:sz w:val="22"/>
          <w:szCs w:val="22"/>
          <w:lang w:val="es-CL" w:eastAsia="es-CL"/>
        </w:rPr>
        <w:t xml:space="preserve"> señalada, quedará</w:t>
      </w:r>
      <w:r w:rsidR="00DD108D">
        <w:rPr>
          <w:rFonts w:ascii="Arial" w:eastAsia="Calibri" w:hAnsi="Arial" w:cs="Arial"/>
          <w:sz w:val="22"/>
          <w:szCs w:val="22"/>
          <w:lang w:val="es-CL" w:eastAsia="es-CL"/>
        </w:rPr>
        <w:t>n</w:t>
      </w:r>
      <w:r w:rsidR="00981DE9" w:rsidRPr="00252C1F">
        <w:rPr>
          <w:rFonts w:ascii="Arial" w:eastAsia="Calibri" w:hAnsi="Arial" w:cs="Arial"/>
          <w:sz w:val="22"/>
          <w:szCs w:val="22"/>
          <w:lang w:val="es-CL" w:eastAsia="es-CL"/>
        </w:rPr>
        <w:t xml:space="preserve"> sujetos al r</w:t>
      </w:r>
      <w:r w:rsidR="007F5AD4" w:rsidRPr="00252C1F">
        <w:rPr>
          <w:rFonts w:ascii="Arial" w:eastAsia="Calibri" w:hAnsi="Arial" w:cs="Arial"/>
          <w:sz w:val="22"/>
          <w:szCs w:val="22"/>
          <w:lang w:val="es-CL" w:eastAsia="es-CL"/>
        </w:rPr>
        <w:t>é</w:t>
      </w:r>
      <w:r w:rsidR="00981DE9" w:rsidRPr="00252C1F">
        <w:rPr>
          <w:rFonts w:ascii="Arial" w:eastAsia="Calibri" w:hAnsi="Arial" w:cs="Arial"/>
          <w:sz w:val="22"/>
          <w:szCs w:val="22"/>
          <w:lang w:val="es-CL" w:eastAsia="es-CL"/>
        </w:rPr>
        <w:t xml:space="preserve">gimen general </w:t>
      </w:r>
      <w:r w:rsidR="00CF3F36" w:rsidRPr="00252C1F">
        <w:rPr>
          <w:rFonts w:ascii="Arial" w:eastAsia="Calibri" w:hAnsi="Arial" w:cs="Arial"/>
          <w:sz w:val="22"/>
          <w:szCs w:val="22"/>
          <w:lang w:val="es-CL" w:eastAsia="es-CL"/>
        </w:rPr>
        <w:t xml:space="preserve">del </w:t>
      </w:r>
      <w:r w:rsidR="00CE5FF6" w:rsidRPr="001A6A24">
        <w:rPr>
          <w:rFonts w:ascii="Arial" w:eastAsia="Calibri" w:hAnsi="Arial" w:cs="Arial"/>
          <w:b/>
          <w:sz w:val="22"/>
          <w:szCs w:val="22"/>
          <w:lang w:val="es-CL" w:eastAsia="es-CL"/>
        </w:rPr>
        <w:t>IEM</w:t>
      </w:r>
      <w:r w:rsidR="00CF3F36" w:rsidRPr="00252C1F">
        <w:rPr>
          <w:rFonts w:ascii="Arial" w:eastAsia="Calibri" w:hAnsi="Arial" w:cs="Arial"/>
          <w:sz w:val="22"/>
          <w:szCs w:val="22"/>
          <w:lang w:val="es-CL" w:eastAsia="es-CL"/>
        </w:rPr>
        <w:t xml:space="preserve">, conforme a las normas vigentes al término de la </w:t>
      </w:r>
      <w:r w:rsidR="00E71726">
        <w:rPr>
          <w:rFonts w:ascii="Arial" w:eastAsia="Calibri" w:hAnsi="Arial" w:cs="Arial"/>
          <w:sz w:val="22"/>
          <w:szCs w:val="22"/>
          <w:lang w:val="es-CL" w:eastAsia="es-CL"/>
        </w:rPr>
        <w:t>ampliación</w:t>
      </w:r>
      <w:r w:rsidR="00CF3F36" w:rsidRPr="00252C1F">
        <w:rPr>
          <w:rFonts w:ascii="Arial" w:eastAsia="Calibri" w:hAnsi="Arial" w:cs="Arial"/>
          <w:sz w:val="22"/>
          <w:szCs w:val="22"/>
          <w:lang w:val="es-CL" w:eastAsia="es-CL"/>
        </w:rPr>
        <w:t xml:space="preserve"> de 6 años.</w:t>
      </w:r>
    </w:p>
    <w:p w:rsidR="000E2212" w:rsidRPr="00252C1F" w:rsidRDefault="000E2212" w:rsidP="00596F98">
      <w:pPr>
        <w:autoSpaceDE w:val="0"/>
        <w:autoSpaceDN w:val="0"/>
        <w:adjustRightInd w:val="0"/>
        <w:ind w:right="-142"/>
        <w:jc w:val="both"/>
        <w:rPr>
          <w:rFonts w:ascii="Arial" w:hAnsi="Arial" w:cs="Arial"/>
          <w:sz w:val="22"/>
          <w:szCs w:val="22"/>
          <w:lang w:val="es-CL" w:eastAsia="es-CL"/>
        </w:rPr>
      </w:pPr>
    </w:p>
    <w:p w:rsidR="00315326" w:rsidRDefault="00315326" w:rsidP="00596F98">
      <w:pPr>
        <w:autoSpaceDE w:val="0"/>
        <w:autoSpaceDN w:val="0"/>
        <w:adjustRightInd w:val="0"/>
        <w:ind w:right="-142"/>
        <w:jc w:val="both"/>
        <w:rPr>
          <w:rFonts w:ascii="Arial" w:hAnsi="Arial" w:cs="Arial"/>
          <w:b/>
          <w:sz w:val="22"/>
          <w:szCs w:val="22"/>
          <w:lang w:val="es-CL" w:eastAsia="es-CL"/>
        </w:rPr>
      </w:pPr>
    </w:p>
    <w:p w:rsidR="000A0046" w:rsidRPr="00252C1F" w:rsidRDefault="00577FBE" w:rsidP="00596F98">
      <w:pPr>
        <w:autoSpaceDE w:val="0"/>
        <w:autoSpaceDN w:val="0"/>
        <w:adjustRightInd w:val="0"/>
        <w:ind w:right="-142"/>
        <w:jc w:val="both"/>
        <w:rPr>
          <w:rFonts w:ascii="Arial" w:hAnsi="Arial" w:cs="Arial"/>
          <w:b/>
          <w:sz w:val="22"/>
          <w:szCs w:val="22"/>
          <w:lang w:val="es-CL" w:eastAsia="es-CL"/>
        </w:rPr>
      </w:pPr>
      <w:r w:rsidRPr="00252C1F">
        <w:rPr>
          <w:rFonts w:ascii="Arial" w:hAnsi="Arial" w:cs="Arial"/>
          <w:b/>
          <w:sz w:val="22"/>
          <w:szCs w:val="22"/>
          <w:lang w:val="es-CL" w:eastAsia="es-CL"/>
        </w:rPr>
        <w:t>(1.</w:t>
      </w:r>
      <w:r w:rsidR="00444187" w:rsidRPr="00252C1F">
        <w:rPr>
          <w:rFonts w:ascii="Arial" w:hAnsi="Arial" w:cs="Arial"/>
          <w:b/>
          <w:sz w:val="22"/>
          <w:szCs w:val="22"/>
          <w:lang w:val="es-CL" w:eastAsia="es-CL"/>
        </w:rPr>
        <w:t>5</w:t>
      </w:r>
      <w:r w:rsidR="00B20F59">
        <w:rPr>
          <w:rFonts w:ascii="Arial" w:hAnsi="Arial" w:cs="Arial"/>
          <w:b/>
          <w:sz w:val="22"/>
          <w:szCs w:val="22"/>
          <w:lang w:val="es-CL" w:eastAsia="es-CL"/>
        </w:rPr>
        <w:t>.</w:t>
      </w:r>
      <w:r w:rsidRPr="00252C1F">
        <w:rPr>
          <w:rFonts w:ascii="Arial" w:hAnsi="Arial" w:cs="Arial"/>
          <w:b/>
          <w:sz w:val="22"/>
          <w:szCs w:val="22"/>
          <w:lang w:val="es-CL" w:eastAsia="es-CL"/>
        </w:rPr>
        <w:t>) Contabilidad.</w:t>
      </w:r>
    </w:p>
    <w:p w:rsidR="00577FBE" w:rsidRPr="00252C1F" w:rsidRDefault="00577FBE" w:rsidP="00596F98">
      <w:pPr>
        <w:autoSpaceDE w:val="0"/>
        <w:autoSpaceDN w:val="0"/>
        <w:adjustRightInd w:val="0"/>
        <w:ind w:right="-142"/>
        <w:jc w:val="both"/>
        <w:rPr>
          <w:rFonts w:ascii="Arial" w:hAnsi="Arial" w:cs="Arial"/>
          <w:sz w:val="22"/>
          <w:szCs w:val="22"/>
          <w:lang w:val="es-CL" w:eastAsia="es-CL"/>
        </w:rPr>
      </w:pPr>
    </w:p>
    <w:p w:rsidR="00577FBE" w:rsidRPr="00252C1F" w:rsidRDefault="00577FBE" w:rsidP="00577FBE">
      <w:pPr>
        <w:autoSpaceDE w:val="0"/>
        <w:autoSpaceDN w:val="0"/>
        <w:adjustRightInd w:val="0"/>
        <w:ind w:right="-93"/>
        <w:jc w:val="both"/>
        <w:rPr>
          <w:rFonts w:ascii="Arial" w:eastAsia="Calibri" w:hAnsi="Arial" w:cs="Arial"/>
          <w:sz w:val="22"/>
          <w:szCs w:val="22"/>
          <w:lang w:val="es-CL" w:eastAsia="es-CL"/>
        </w:rPr>
      </w:pPr>
      <w:r w:rsidRPr="00252C1F">
        <w:rPr>
          <w:rFonts w:ascii="Arial" w:eastAsia="Calibri" w:hAnsi="Arial" w:cs="Arial"/>
          <w:sz w:val="22"/>
          <w:szCs w:val="22"/>
          <w:lang w:val="es-CL" w:eastAsia="es-CL"/>
        </w:rPr>
        <w:t>Conforme al inciso 5°</w:t>
      </w:r>
      <w:r w:rsidR="00973747" w:rsidRPr="00252C1F">
        <w:rPr>
          <w:rFonts w:ascii="Arial" w:eastAsia="Calibri" w:hAnsi="Arial" w:cs="Arial"/>
          <w:sz w:val="22"/>
          <w:szCs w:val="22"/>
          <w:lang w:val="es-CL" w:eastAsia="es-CL"/>
        </w:rPr>
        <w:t>,</w:t>
      </w:r>
      <w:r w:rsidRPr="00252C1F">
        <w:rPr>
          <w:rFonts w:ascii="Arial" w:eastAsia="Calibri" w:hAnsi="Arial" w:cs="Arial"/>
          <w:sz w:val="22"/>
          <w:szCs w:val="22"/>
          <w:lang w:val="es-CL" w:eastAsia="es-CL"/>
        </w:rPr>
        <w:t xml:space="preserve"> del artículo 2° transitorio</w:t>
      </w:r>
      <w:r w:rsidR="00973747" w:rsidRPr="00252C1F">
        <w:rPr>
          <w:rFonts w:ascii="Arial" w:eastAsia="Calibri" w:hAnsi="Arial" w:cs="Arial"/>
          <w:sz w:val="22"/>
          <w:szCs w:val="22"/>
          <w:lang w:val="es-CL" w:eastAsia="es-CL"/>
        </w:rPr>
        <w:t>,</w:t>
      </w:r>
      <w:r w:rsidRPr="00252C1F">
        <w:rPr>
          <w:rFonts w:ascii="Arial" w:eastAsia="Calibri" w:hAnsi="Arial" w:cs="Arial"/>
          <w:sz w:val="22"/>
          <w:szCs w:val="22"/>
          <w:lang w:val="es-CL" w:eastAsia="es-CL"/>
        </w:rPr>
        <w:t xml:space="preserve"> de la Ley 20.469</w:t>
      </w:r>
      <w:r w:rsidR="00C82196" w:rsidRPr="00252C1F">
        <w:rPr>
          <w:rFonts w:ascii="Arial" w:eastAsia="Calibri" w:hAnsi="Arial" w:cs="Arial"/>
          <w:sz w:val="22"/>
          <w:szCs w:val="22"/>
          <w:lang w:val="es-CL" w:eastAsia="es-CL"/>
        </w:rPr>
        <w:t>, los contribuyentes que ejerzan la opción a que se refiere este N°</w:t>
      </w:r>
      <w:r w:rsidR="00973747" w:rsidRPr="00252C1F">
        <w:rPr>
          <w:rFonts w:ascii="Arial" w:eastAsia="Calibri" w:hAnsi="Arial" w:cs="Arial"/>
          <w:b/>
          <w:sz w:val="22"/>
          <w:szCs w:val="22"/>
          <w:lang w:val="es-CL" w:eastAsia="es-CL"/>
        </w:rPr>
        <w:t>(1)</w:t>
      </w:r>
      <w:r w:rsidR="00973747" w:rsidRPr="00252C1F">
        <w:rPr>
          <w:rFonts w:ascii="Arial" w:eastAsia="Calibri" w:hAnsi="Arial" w:cs="Arial"/>
          <w:sz w:val="22"/>
          <w:szCs w:val="22"/>
          <w:lang w:val="es-CL" w:eastAsia="es-CL"/>
        </w:rPr>
        <w:t xml:space="preserve">, </w:t>
      </w:r>
      <w:r w:rsidR="00C82196" w:rsidRPr="00252C1F">
        <w:rPr>
          <w:rFonts w:ascii="Arial" w:eastAsia="Calibri" w:hAnsi="Arial" w:cs="Arial"/>
          <w:sz w:val="22"/>
          <w:szCs w:val="22"/>
          <w:lang w:val="es-CL" w:eastAsia="es-CL"/>
        </w:rPr>
        <w:t>que</w:t>
      </w:r>
      <w:r w:rsidRPr="00252C1F">
        <w:rPr>
          <w:rFonts w:ascii="Arial" w:eastAsia="Calibri" w:hAnsi="Arial" w:cs="Arial"/>
          <w:sz w:val="22"/>
          <w:szCs w:val="22"/>
          <w:lang w:val="es-CL" w:eastAsia="es-CL"/>
        </w:rPr>
        <w:t xml:space="preserve"> hayan iniciado la explotación de</w:t>
      </w:r>
      <w:r w:rsidR="00C82196" w:rsidRPr="00252C1F">
        <w:rPr>
          <w:rFonts w:ascii="Arial" w:eastAsia="Calibri" w:hAnsi="Arial" w:cs="Arial"/>
          <w:sz w:val="22"/>
          <w:szCs w:val="22"/>
          <w:lang w:val="es-CL" w:eastAsia="es-CL"/>
        </w:rPr>
        <w:t xml:space="preserve"> </w:t>
      </w:r>
      <w:r w:rsidRPr="00252C1F">
        <w:rPr>
          <w:rFonts w:ascii="Arial" w:eastAsia="Calibri" w:hAnsi="Arial" w:cs="Arial"/>
          <w:sz w:val="22"/>
          <w:szCs w:val="22"/>
          <w:lang w:val="es-CL" w:eastAsia="es-CL"/>
        </w:rPr>
        <w:t>proyectos mineros amparados en contratos de inversión conforme</w:t>
      </w:r>
      <w:r w:rsidR="00B20F59">
        <w:rPr>
          <w:rFonts w:ascii="Arial" w:eastAsia="Calibri" w:hAnsi="Arial" w:cs="Arial"/>
          <w:sz w:val="22"/>
          <w:szCs w:val="22"/>
          <w:lang w:val="es-CL" w:eastAsia="es-CL"/>
        </w:rPr>
        <w:t xml:space="preserve"> a</w:t>
      </w:r>
      <w:r w:rsidRPr="00252C1F">
        <w:rPr>
          <w:rFonts w:ascii="Arial" w:eastAsia="Calibri" w:hAnsi="Arial" w:cs="Arial"/>
          <w:sz w:val="22"/>
          <w:szCs w:val="22"/>
          <w:lang w:val="es-CL" w:eastAsia="es-CL"/>
        </w:rPr>
        <w:t xml:space="preserve">l </w:t>
      </w:r>
      <w:r w:rsidR="00AA1EA6" w:rsidRPr="00252C1F">
        <w:rPr>
          <w:rFonts w:ascii="Arial" w:eastAsia="Calibri" w:hAnsi="Arial" w:cs="Arial"/>
          <w:sz w:val="22"/>
          <w:szCs w:val="22"/>
          <w:lang w:val="es-CL" w:eastAsia="es-CL"/>
        </w:rPr>
        <w:t>DL</w:t>
      </w:r>
      <w:r w:rsidR="00C82196" w:rsidRPr="00252C1F">
        <w:rPr>
          <w:rFonts w:ascii="Arial" w:eastAsia="Calibri" w:hAnsi="Arial" w:cs="Arial"/>
          <w:sz w:val="22"/>
          <w:szCs w:val="22"/>
          <w:lang w:val="es-CL" w:eastAsia="es-CL"/>
        </w:rPr>
        <w:t xml:space="preserve"> </w:t>
      </w:r>
      <w:r w:rsidRPr="00252C1F">
        <w:rPr>
          <w:rFonts w:ascii="Arial" w:eastAsia="Calibri" w:hAnsi="Arial" w:cs="Arial"/>
          <w:sz w:val="22"/>
          <w:szCs w:val="22"/>
          <w:lang w:val="es-CL" w:eastAsia="es-CL"/>
        </w:rPr>
        <w:t xml:space="preserve">600, de </w:t>
      </w:r>
      <w:smartTag w:uri="urn:schemas-microsoft-com:office:smarttags" w:element="metricconverter">
        <w:smartTagPr>
          <w:attr w:name="ProductID" w:val="1974, a"/>
        </w:smartTagPr>
        <w:r w:rsidRPr="00252C1F">
          <w:rPr>
            <w:rFonts w:ascii="Arial" w:eastAsia="Calibri" w:hAnsi="Arial" w:cs="Arial"/>
            <w:sz w:val="22"/>
            <w:szCs w:val="22"/>
            <w:lang w:val="es-CL" w:eastAsia="es-CL"/>
          </w:rPr>
          <w:t>1974, a</w:t>
        </w:r>
      </w:smartTag>
      <w:r w:rsidRPr="00252C1F">
        <w:rPr>
          <w:rFonts w:ascii="Arial" w:eastAsia="Calibri" w:hAnsi="Arial" w:cs="Arial"/>
          <w:sz w:val="22"/>
          <w:szCs w:val="22"/>
          <w:lang w:val="es-CL" w:eastAsia="es-CL"/>
        </w:rPr>
        <w:t xml:space="preserve"> contar del </w:t>
      </w:r>
      <w:r w:rsidRPr="00252C1F">
        <w:rPr>
          <w:rFonts w:ascii="Arial" w:eastAsia="Calibri" w:hAnsi="Arial" w:cs="Arial"/>
          <w:b/>
          <w:sz w:val="22"/>
          <w:szCs w:val="22"/>
          <w:lang w:val="es-CL" w:eastAsia="es-CL"/>
        </w:rPr>
        <w:t>1</w:t>
      </w:r>
      <w:r w:rsidR="00B20F59">
        <w:rPr>
          <w:rFonts w:ascii="Arial" w:eastAsia="Calibri" w:hAnsi="Arial" w:cs="Arial"/>
          <w:b/>
          <w:sz w:val="22"/>
          <w:szCs w:val="22"/>
          <w:lang w:val="es-CL" w:eastAsia="es-CL"/>
        </w:rPr>
        <w:t>°</w:t>
      </w:r>
      <w:r w:rsidRPr="00252C1F">
        <w:rPr>
          <w:rFonts w:ascii="Arial" w:eastAsia="Calibri" w:hAnsi="Arial" w:cs="Arial"/>
          <w:b/>
          <w:sz w:val="22"/>
          <w:szCs w:val="22"/>
          <w:lang w:val="es-CL" w:eastAsia="es-CL"/>
        </w:rPr>
        <w:t xml:space="preserve"> de diciembre de 2004</w:t>
      </w:r>
      <w:r w:rsidRPr="00252C1F">
        <w:rPr>
          <w:rFonts w:ascii="Arial" w:eastAsia="Calibri" w:hAnsi="Arial" w:cs="Arial"/>
          <w:sz w:val="22"/>
          <w:szCs w:val="22"/>
          <w:lang w:val="es-CL" w:eastAsia="es-CL"/>
        </w:rPr>
        <w:t>, o bien inicien</w:t>
      </w:r>
      <w:r w:rsidR="00C82196" w:rsidRPr="00252C1F">
        <w:rPr>
          <w:rFonts w:ascii="Arial" w:eastAsia="Calibri" w:hAnsi="Arial" w:cs="Arial"/>
          <w:sz w:val="22"/>
          <w:szCs w:val="22"/>
          <w:lang w:val="es-CL" w:eastAsia="es-CL"/>
        </w:rPr>
        <w:t xml:space="preserve"> </w:t>
      </w:r>
      <w:r w:rsidRPr="00252C1F">
        <w:rPr>
          <w:rFonts w:ascii="Arial" w:eastAsia="Calibri" w:hAnsi="Arial" w:cs="Arial"/>
          <w:sz w:val="22"/>
          <w:szCs w:val="22"/>
          <w:lang w:val="es-CL" w:eastAsia="es-CL"/>
        </w:rPr>
        <w:t>la explotación de proyectos a contar de dicha fecha, deberán</w:t>
      </w:r>
      <w:r w:rsidR="00C82196" w:rsidRPr="00252C1F">
        <w:rPr>
          <w:rFonts w:ascii="Arial" w:eastAsia="Calibri" w:hAnsi="Arial" w:cs="Arial"/>
          <w:sz w:val="22"/>
          <w:szCs w:val="22"/>
          <w:lang w:val="es-CL" w:eastAsia="es-CL"/>
        </w:rPr>
        <w:t xml:space="preserve"> </w:t>
      </w:r>
      <w:r w:rsidRPr="00252C1F">
        <w:rPr>
          <w:rFonts w:ascii="Arial" w:eastAsia="Calibri" w:hAnsi="Arial" w:cs="Arial"/>
          <w:sz w:val="22"/>
          <w:szCs w:val="22"/>
          <w:lang w:val="es-CL" w:eastAsia="es-CL"/>
        </w:rPr>
        <w:t>llevar contabilidad separada por cada proyecto en la forma que al</w:t>
      </w:r>
      <w:r w:rsidR="00C82196" w:rsidRPr="00252C1F">
        <w:rPr>
          <w:rFonts w:ascii="Arial" w:eastAsia="Calibri" w:hAnsi="Arial" w:cs="Arial"/>
          <w:sz w:val="22"/>
          <w:szCs w:val="22"/>
          <w:lang w:val="es-CL" w:eastAsia="es-CL"/>
        </w:rPr>
        <w:t xml:space="preserve"> </w:t>
      </w:r>
      <w:r w:rsidRPr="00252C1F">
        <w:rPr>
          <w:rFonts w:ascii="Arial" w:eastAsia="Calibri" w:hAnsi="Arial" w:cs="Arial"/>
          <w:sz w:val="22"/>
          <w:szCs w:val="22"/>
          <w:lang w:val="es-CL" w:eastAsia="es-CL"/>
        </w:rPr>
        <w:t>efecto determine e</w:t>
      </w:r>
      <w:r w:rsidR="00444187" w:rsidRPr="00252C1F">
        <w:rPr>
          <w:rFonts w:ascii="Arial" w:eastAsia="Calibri" w:hAnsi="Arial" w:cs="Arial"/>
          <w:sz w:val="22"/>
          <w:szCs w:val="22"/>
          <w:lang w:val="es-CL" w:eastAsia="es-CL"/>
        </w:rPr>
        <w:t>ste</w:t>
      </w:r>
      <w:r w:rsidRPr="00252C1F">
        <w:rPr>
          <w:rFonts w:ascii="Arial" w:eastAsia="Calibri" w:hAnsi="Arial" w:cs="Arial"/>
          <w:sz w:val="22"/>
          <w:szCs w:val="22"/>
          <w:lang w:val="es-CL" w:eastAsia="es-CL"/>
        </w:rPr>
        <w:t xml:space="preserve"> Servicio</w:t>
      </w:r>
      <w:r w:rsidR="00C82196" w:rsidRPr="00252C1F">
        <w:rPr>
          <w:rFonts w:ascii="Arial" w:eastAsia="Calibri" w:hAnsi="Arial" w:cs="Arial"/>
          <w:sz w:val="22"/>
          <w:szCs w:val="22"/>
          <w:lang w:val="es-CL" w:eastAsia="es-CL"/>
        </w:rPr>
        <w:t>.</w:t>
      </w:r>
    </w:p>
    <w:p w:rsidR="0051441C" w:rsidRPr="00252C1F" w:rsidRDefault="0051441C" w:rsidP="00577FBE">
      <w:pPr>
        <w:autoSpaceDE w:val="0"/>
        <w:autoSpaceDN w:val="0"/>
        <w:adjustRightInd w:val="0"/>
        <w:ind w:right="-93"/>
        <w:jc w:val="both"/>
        <w:rPr>
          <w:rFonts w:ascii="Arial" w:eastAsia="Calibri" w:hAnsi="Arial" w:cs="Arial"/>
          <w:sz w:val="22"/>
          <w:szCs w:val="22"/>
          <w:lang w:val="es-CL" w:eastAsia="es-CL"/>
        </w:rPr>
      </w:pPr>
    </w:p>
    <w:p w:rsidR="0051441C" w:rsidRPr="00252C1F" w:rsidRDefault="0051441C" w:rsidP="00061153">
      <w:pPr>
        <w:autoSpaceDE w:val="0"/>
        <w:autoSpaceDN w:val="0"/>
        <w:adjustRightInd w:val="0"/>
        <w:jc w:val="both"/>
        <w:rPr>
          <w:rFonts w:ascii="Arial" w:hAnsi="Arial" w:cs="Arial"/>
          <w:sz w:val="22"/>
          <w:szCs w:val="22"/>
          <w:lang w:val="es-CL" w:eastAsia="es-CL"/>
        </w:rPr>
      </w:pPr>
      <w:r w:rsidRPr="00252C1F">
        <w:rPr>
          <w:rFonts w:ascii="Arial" w:eastAsia="Calibri" w:hAnsi="Arial" w:cs="Arial"/>
          <w:sz w:val="22"/>
          <w:szCs w:val="22"/>
          <w:lang w:val="es-CL" w:eastAsia="es-CL"/>
        </w:rPr>
        <w:t>Adicionalmente, mantendrán el derecho a aplicar lo establecido en el</w:t>
      </w:r>
      <w:r w:rsidR="00061153" w:rsidRPr="00252C1F">
        <w:rPr>
          <w:rFonts w:ascii="Arial" w:eastAsia="Calibri" w:hAnsi="Arial" w:cs="Arial"/>
          <w:sz w:val="22"/>
          <w:szCs w:val="22"/>
          <w:lang w:val="es-CL" w:eastAsia="es-CL"/>
        </w:rPr>
        <w:t xml:space="preserve"> </w:t>
      </w:r>
      <w:r w:rsidRPr="00252C1F">
        <w:rPr>
          <w:rFonts w:ascii="Arial" w:eastAsia="Calibri" w:hAnsi="Arial" w:cs="Arial"/>
          <w:sz w:val="22"/>
          <w:szCs w:val="22"/>
          <w:lang w:val="es-CL" w:eastAsia="es-CL"/>
        </w:rPr>
        <w:t xml:space="preserve">artículo 8° transitorio de la </w:t>
      </w:r>
      <w:r w:rsidR="00444187" w:rsidRPr="00252C1F">
        <w:rPr>
          <w:rFonts w:ascii="Arial" w:eastAsia="Calibri" w:hAnsi="Arial" w:cs="Arial"/>
          <w:sz w:val="22"/>
          <w:szCs w:val="22"/>
          <w:lang w:val="es-CL" w:eastAsia="es-CL"/>
        </w:rPr>
        <w:t>L</w:t>
      </w:r>
      <w:r w:rsidRPr="00252C1F">
        <w:rPr>
          <w:rFonts w:ascii="Arial" w:eastAsia="Calibri" w:hAnsi="Arial" w:cs="Arial"/>
          <w:sz w:val="22"/>
          <w:szCs w:val="22"/>
          <w:lang w:val="es-CL" w:eastAsia="es-CL"/>
        </w:rPr>
        <w:t>ey</w:t>
      </w:r>
      <w:r w:rsidR="00973747" w:rsidRPr="00252C1F">
        <w:rPr>
          <w:rFonts w:ascii="Arial" w:eastAsia="Calibri" w:hAnsi="Arial" w:cs="Arial"/>
          <w:sz w:val="22"/>
          <w:szCs w:val="22"/>
          <w:lang w:val="es-CL" w:eastAsia="es-CL"/>
        </w:rPr>
        <w:t xml:space="preserve"> 20.026</w:t>
      </w:r>
      <w:r w:rsidRPr="00252C1F">
        <w:rPr>
          <w:rFonts w:ascii="Arial" w:eastAsia="Calibri" w:hAnsi="Arial" w:cs="Arial"/>
          <w:sz w:val="22"/>
          <w:szCs w:val="22"/>
          <w:lang w:val="es-CL" w:eastAsia="es-CL"/>
        </w:rPr>
        <w:t>, hasta el término de</w:t>
      </w:r>
      <w:r w:rsidR="00A17DF4" w:rsidRPr="00252C1F">
        <w:rPr>
          <w:rFonts w:ascii="Arial" w:eastAsia="Calibri" w:hAnsi="Arial" w:cs="Arial"/>
          <w:sz w:val="22"/>
          <w:szCs w:val="22"/>
          <w:lang w:val="es-CL" w:eastAsia="es-CL"/>
        </w:rPr>
        <w:t xml:space="preserve">l plazo de invariabilidad tributaria </w:t>
      </w:r>
      <w:r w:rsidR="00E71726">
        <w:rPr>
          <w:rFonts w:ascii="Arial" w:eastAsia="Calibri" w:hAnsi="Arial" w:cs="Arial"/>
          <w:sz w:val="22"/>
          <w:szCs w:val="22"/>
          <w:lang w:val="es-CL" w:eastAsia="es-CL"/>
        </w:rPr>
        <w:t>ampliado</w:t>
      </w:r>
      <w:r w:rsidRPr="00252C1F">
        <w:rPr>
          <w:rFonts w:ascii="Arial" w:eastAsia="Calibri" w:hAnsi="Arial" w:cs="Arial"/>
          <w:sz w:val="22"/>
          <w:szCs w:val="22"/>
          <w:lang w:val="es-CL" w:eastAsia="es-CL"/>
        </w:rPr>
        <w:t xml:space="preserve"> señalad</w:t>
      </w:r>
      <w:r w:rsidR="00A17DF4" w:rsidRPr="00252C1F">
        <w:rPr>
          <w:rFonts w:ascii="Arial" w:eastAsia="Calibri" w:hAnsi="Arial" w:cs="Arial"/>
          <w:sz w:val="22"/>
          <w:szCs w:val="22"/>
          <w:lang w:val="es-CL" w:eastAsia="es-CL"/>
        </w:rPr>
        <w:t>o</w:t>
      </w:r>
      <w:r w:rsidRPr="00252C1F">
        <w:rPr>
          <w:rFonts w:ascii="Arial" w:eastAsia="Calibri" w:hAnsi="Arial" w:cs="Arial"/>
          <w:sz w:val="22"/>
          <w:szCs w:val="22"/>
          <w:lang w:val="es-CL" w:eastAsia="es-CL"/>
        </w:rPr>
        <w:t xml:space="preserve"> en l</w:t>
      </w:r>
      <w:r w:rsidR="00061153" w:rsidRPr="00252C1F">
        <w:rPr>
          <w:rFonts w:ascii="Arial" w:eastAsia="Calibri" w:hAnsi="Arial" w:cs="Arial"/>
          <w:sz w:val="22"/>
          <w:szCs w:val="22"/>
          <w:lang w:val="es-CL" w:eastAsia="es-CL"/>
        </w:rPr>
        <w:t xml:space="preserve">a letra </w:t>
      </w:r>
      <w:r w:rsidR="00061153" w:rsidRPr="00B20F59">
        <w:rPr>
          <w:rFonts w:ascii="Arial" w:eastAsia="Calibri" w:hAnsi="Arial" w:cs="Arial"/>
          <w:b/>
          <w:sz w:val="22"/>
          <w:szCs w:val="22"/>
          <w:lang w:val="es-CL" w:eastAsia="es-CL"/>
        </w:rPr>
        <w:t>(</w:t>
      </w:r>
      <w:r w:rsidR="00444187" w:rsidRPr="00B20F59">
        <w:rPr>
          <w:rFonts w:ascii="Arial" w:eastAsia="Calibri" w:hAnsi="Arial" w:cs="Arial"/>
          <w:b/>
          <w:sz w:val="22"/>
          <w:szCs w:val="22"/>
          <w:lang w:val="es-CL" w:eastAsia="es-CL"/>
        </w:rPr>
        <w:t>c</w:t>
      </w:r>
      <w:r w:rsidR="00061153" w:rsidRPr="00B20F59">
        <w:rPr>
          <w:rFonts w:ascii="Arial" w:eastAsia="Calibri" w:hAnsi="Arial" w:cs="Arial"/>
          <w:b/>
          <w:sz w:val="22"/>
          <w:szCs w:val="22"/>
          <w:lang w:val="es-CL" w:eastAsia="es-CL"/>
        </w:rPr>
        <w:t>)</w:t>
      </w:r>
      <w:r w:rsidR="00061153" w:rsidRPr="00252C1F">
        <w:rPr>
          <w:rFonts w:ascii="Arial" w:eastAsia="Calibri" w:hAnsi="Arial" w:cs="Arial"/>
          <w:sz w:val="22"/>
          <w:szCs w:val="22"/>
          <w:lang w:val="es-CL" w:eastAsia="es-CL"/>
        </w:rPr>
        <w:t xml:space="preserve"> anterior</w:t>
      </w:r>
      <w:r w:rsidRPr="00252C1F">
        <w:rPr>
          <w:rFonts w:ascii="Arial" w:eastAsia="Calibri" w:hAnsi="Arial" w:cs="Arial"/>
          <w:sz w:val="22"/>
          <w:szCs w:val="22"/>
          <w:lang w:val="es-CL" w:eastAsia="es-CL"/>
        </w:rPr>
        <w:t>.</w:t>
      </w:r>
      <w:r w:rsidR="00E86311" w:rsidRPr="00252C1F">
        <w:rPr>
          <w:rFonts w:ascii="Arial" w:eastAsia="Calibri" w:hAnsi="Arial" w:cs="Arial"/>
          <w:sz w:val="22"/>
          <w:szCs w:val="22"/>
          <w:lang w:val="es-CL" w:eastAsia="es-CL"/>
        </w:rPr>
        <w:t xml:space="preserve"> Las instrucciones sobre lo dispuesto en este artículo</w:t>
      </w:r>
      <w:r w:rsidR="00AA40C8" w:rsidRPr="00252C1F">
        <w:rPr>
          <w:rFonts w:ascii="Arial" w:eastAsia="Calibri" w:hAnsi="Arial" w:cs="Arial"/>
          <w:sz w:val="22"/>
          <w:szCs w:val="22"/>
          <w:lang w:val="es-CL" w:eastAsia="es-CL"/>
        </w:rPr>
        <w:t>, fueron impartidas mediante Circular 34 de 2006.</w:t>
      </w:r>
    </w:p>
    <w:p w:rsidR="005672D4" w:rsidRPr="00252C1F" w:rsidRDefault="005672D4"/>
    <w:p w:rsidR="00315326" w:rsidRDefault="00315326">
      <w:pPr>
        <w:rPr>
          <w:rFonts w:ascii="Arial" w:hAnsi="Arial" w:cs="Arial"/>
          <w:b/>
          <w:sz w:val="22"/>
          <w:szCs w:val="22"/>
        </w:rPr>
      </w:pPr>
    </w:p>
    <w:p w:rsidR="00174EBC" w:rsidRPr="00252C1F" w:rsidRDefault="00174EBC">
      <w:pPr>
        <w:rPr>
          <w:rFonts w:ascii="Arial" w:hAnsi="Arial" w:cs="Arial"/>
          <w:b/>
          <w:sz w:val="22"/>
          <w:szCs w:val="22"/>
        </w:rPr>
      </w:pPr>
      <w:r w:rsidRPr="00252C1F">
        <w:rPr>
          <w:rFonts w:ascii="Arial" w:hAnsi="Arial" w:cs="Arial"/>
          <w:b/>
          <w:sz w:val="22"/>
          <w:szCs w:val="22"/>
        </w:rPr>
        <w:t>(1.</w:t>
      </w:r>
      <w:r w:rsidR="00E86311" w:rsidRPr="00252C1F">
        <w:rPr>
          <w:rFonts w:ascii="Arial" w:hAnsi="Arial" w:cs="Arial"/>
          <w:b/>
          <w:sz w:val="22"/>
          <w:szCs w:val="22"/>
        </w:rPr>
        <w:t>6</w:t>
      </w:r>
      <w:r w:rsidR="00B20F59">
        <w:rPr>
          <w:rFonts w:ascii="Arial" w:hAnsi="Arial" w:cs="Arial"/>
          <w:b/>
          <w:sz w:val="22"/>
          <w:szCs w:val="22"/>
        </w:rPr>
        <w:t>.</w:t>
      </w:r>
      <w:r w:rsidRPr="00252C1F">
        <w:rPr>
          <w:rFonts w:ascii="Arial" w:hAnsi="Arial" w:cs="Arial"/>
          <w:b/>
          <w:sz w:val="22"/>
          <w:szCs w:val="22"/>
        </w:rPr>
        <w:t>) Forma</w:t>
      </w:r>
      <w:r w:rsidR="007F4C30" w:rsidRPr="00252C1F">
        <w:rPr>
          <w:rFonts w:ascii="Arial" w:hAnsi="Arial" w:cs="Arial"/>
          <w:b/>
          <w:sz w:val="22"/>
          <w:szCs w:val="22"/>
        </w:rPr>
        <w:t xml:space="preserve"> y plazo para </w:t>
      </w:r>
      <w:r w:rsidRPr="00252C1F">
        <w:rPr>
          <w:rFonts w:ascii="Arial" w:hAnsi="Arial" w:cs="Arial"/>
          <w:b/>
          <w:sz w:val="22"/>
          <w:szCs w:val="22"/>
        </w:rPr>
        <w:t>ejercer la opción.</w:t>
      </w:r>
    </w:p>
    <w:p w:rsidR="00174EBC" w:rsidRPr="00252C1F" w:rsidRDefault="00174EBC">
      <w:pPr>
        <w:rPr>
          <w:rFonts w:ascii="Arial" w:hAnsi="Arial" w:cs="Arial"/>
          <w:sz w:val="22"/>
          <w:szCs w:val="22"/>
        </w:rPr>
      </w:pPr>
    </w:p>
    <w:p w:rsidR="00F36E18" w:rsidRPr="00252C1F" w:rsidRDefault="00F36E18" w:rsidP="00F36E18">
      <w:pPr>
        <w:autoSpaceDE w:val="0"/>
        <w:autoSpaceDN w:val="0"/>
        <w:adjustRightInd w:val="0"/>
        <w:ind w:right="-93"/>
        <w:jc w:val="both"/>
        <w:rPr>
          <w:rFonts w:ascii="Arial" w:eastAsia="Calibri" w:hAnsi="Arial" w:cs="Arial"/>
          <w:sz w:val="22"/>
          <w:szCs w:val="22"/>
          <w:lang w:val="es-CL" w:eastAsia="es-CL"/>
        </w:rPr>
      </w:pPr>
      <w:r w:rsidRPr="00252C1F">
        <w:rPr>
          <w:rFonts w:ascii="Arial" w:hAnsi="Arial" w:cs="Arial"/>
          <w:sz w:val="22"/>
          <w:szCs w:val="22"/>
        </w:rPr>
        <w:t>De acuerdo al inciso 6°</w:t>
      </w:r>
      <w:r w:rsidR="00AA40C8" w:rsidRPr="00252C1F">
        <w:rPr>
          <w:rFonts w:ascii="Arial" w:hAnsi="Arial" w:cs="Arial"/>
          <w:sz w:val="22"/>
          <w:szCs w:val="22"/>
        </w:rPr>
        <w:t>,</w:t>
      </w:r>
      <w:r w:rsidRPr="00252C1F">
        <w:rPr>
          <w:rFonts w:ascii="Arial" w:hAnsi="Arial" w:cs="Arial"/>
          <w:sz w:val="22"/>
          <w:szCs w:val="22"/>
        </w:rPr>
        <w:t xml:space="preserve"> del artículo  2° </w:t>
      </w:r>
      <w:r w:rsidR="00AA40C8" w:rsidRPr="00252C1F">
        <w:rPr>
          <w:rFonts w:ascii="Arial" w:hAnsi="Arial" w:cs="Arial"/>
          <w:sz w:val="22"/>
          <w:szCs w:val="22"/>
        </w:rPr>
        <w:t>t</w:t>
      </w:r>
      <w:r w:rsidRPr="00252C1F">
        <w:rPr>
          <w:rFonts w:ascii="Arial" w:hAnsi="Arial" w:cs="Arial"/>
          <w:sz w:val="22"/>
          <w:szCs w:val="22"/>
        </w:rPr>
        <w:t xml:space="preserve">ransitorio de </w:t>
      </w:r>
      <w:smartTag w:uri="urn:schemas-microsoft-com:office:smarttags" w:element="PersonName">
        <w:smartTagPr>
          <w:attr w:name="ProductID" w:val="la Ley"/>
        </w:smartTagPr>
        <w:r w:rsidRPr="00252C1F">
          <w:rPr>
            <w:rFonts w:ascii="Arial" w:hAnsi="Arial" w:cs="Arial"/>
            <w:sz w:val="22"/>
            <w:szCs w:val="22"/>
          </w:rPr>
          <w:t>la Ley</w:t>
        </w:r>
      </w:smartTag>
      <w:r w:rsidRPr="00252C1F">
        <w:rPr>
          <w:rFonts w:ascii="Arial" w:hAnsi="Arial" w:cs="Arial"/>
          <w:sz w:val="22"/>
          <w:szCs w:val="22"/>
        </w:rPr>
        <w:t xml:space="preserve"> 20.469, l</w:t>
      </w:r>
      <w:r w:rsidRPr="00252C1F">
        <w:rPr>
          <w:rFonts w:ascii="Arial" w:eastAsia="Calibri" w:hAnsi="Arial" w:cs="Arial"/>
          <w:sz w:val="22"/>
          <w:szCs w:val="22"/>
          <w:lang w:val="es-CL" w:eastAsia="es-CL"/>
        </w:rPr>
        <w:t>a solicitud que tenga por objeto modificar el régimen de invariabilidad</w:t>
      </w:r>
      <w:r w:rsidR="004F3B11" w:rsidRPr="00252C1F">
        <w:rPr>
          <w:rFonts w:ascii="Arial" w:eastAsia="Calibri" w:hAnsi="Arial" w:cs="Arial"/>
          <w:sz w:val="22"/>
          <w:szCs w:val="22"/>
          <w:lang w:val="es-CL" w:eastAsia="es-CL"/>
        </w:rPr>
        <w:t>,</w:t>
      </w:r>
      <w:r w:rsidRPr="00252C1F">
        <w:rPr>
          <w:rFonts w:ascii="Arial" w:eastAsia="Calibri" w:hAnsi="Arial" w:cs="Arial"/>
          <w:sz w:val="22"/>
          <w:szCs w:val="22"/>
          <w:lang w:val="es-CL" w:eastAsia="es-CL"/>
        </w:rPr>
        <w:t xml:space="preserve"> a efectos de sujetarse a lo señalado</w:t>
      </w:r>
      <w:r w:rsidR="004F3B11" w:rsidRPr="00252C1F">
        <w:rPr>
          <w:rFonts w:ascii="Arial" w:eastAsia="Calibri" w:hAnsi="Arial" w:cs="Arial"/>
          <w:sz w:val="22"/>
          <w:szCs w:val="22"/>
          <w:lang w:val="es-CL" w:eastAsia="es-CL"/>
        </w:rPr>
        <w:t xml:space="preserve"> en los números precedentes</w:t>
      </w:r>
      <w:r w:rsidRPr="00252C1F">
        <w:rPr>
          <w:rFonts w:ascii="Arial" w:eastAsia="Calibri" w:hAnsi="Arial" w:cs="Arial"/>
          <w:sz w:val="22"/>
          <w:szCs w:val="22"/>
          <w:lang w:val="es-CL" w:eastAsia="es-CL"/>
        </w:rPr>
        <w:t xml:space="preserve">, deberá ser presentada </w:t>
      </w:r>
      <w:r w:rsidRPr="00E71726">
        <w:rPr>
          <w:rFonts w:ascii="Arial" w:eastAsia="Calibri" w:hAnsi="Arial" w:cs="Arial"/>
          <w:i/>
          <w:sz w:val="22"/>
          <w:szCs w:val="22"/>
          <w:lang w:val="es-CL" w:eastAsia="es-CL"/>
        </w:rPr>
        <w:t>conjuntamente por la totalidad de los inversionistas extranjeros y por la empresa receptora de su aporte</w:t>
      </w:r>
      <w:r w:rsidRPr="00252C1F">
        <w:rPr>
          <w:rFonts w:ascii="Arial" w:eastAsia="Calibri" w:hAnsi="Arial" w:cs="Arial"/>
          <w:sz w:val="22"/>
          <w:szCs w:val="22"/>
          <w:lang w:val="es-CL" w:eastAsia="es-CL"/>
        </w:rPr>
        <w:t xml:space="preserve"> ante el </w:t>
      </w:r>
      <w:r w:rsidRPr="007B6925">
        <w:rPr>
          <w:rFonts w:ascii="Arial" w:eastAsia="Calibri" w:hAnsi="Arial" w:cs="Arial"/>
          <w:b/>
          <w:sz w:val="22"/>
          <w:szCs w:val="22"/>
          <w:lang w:val="es-CL" w:eastAsia="es-CL"/>
        </w:rPr>
        <w:t>CIE</w:t>
      </w:r>
      <w:r w:rsidRPr="00252C1F">
        <w:rPr>
          <w:rFonts w:ascii="Arial" w:eastAsia="Calibri" w:hAnsi="Arial" w:cs="Arial"/>
          <w:sz w:val="22"/>
          <w:szCs w:val="22"/>
          <w:lang w:val="es-CL" w:eastAsia="es-CL"/>
        </w:rPr>
        <w:t xml:space="preserve">. </w:t>
      </w:r>
    </w:p>
    <w:p w:rsidR="00F36E18" w:rsidRPr="00252C1F" w:rsidRDefault="00F36E18" w:rsidP="00F36E18">
      <w:pPr>
        <w:autoSpaceDE w:val="0"/>
        <w:autoSpaceDN w:val="0"/>
        <w:adjustRightInd w:val="0"/>
        <w:ind w:right="-93"/>
        <w:jc w:val="both"/>
        <w:rPr>
          <w:rFonts w:ascii="Arial" w:eastAsia="Calibri" w:hAnsi="Arial" w:cs="Arial"/>
          <w:sz w:val="22"/>
          <w:szCs w:val="22"/>
          <w:lang w:val="es-CL" w:eastAsia="es-CL"/>
        </w:rPr>
      </w:pPr>
    </w:p>
    <w:p w:rsidR="003F63EC" w:rsidRPr="00252C1F" w:rsidRDefault="00F36E18" w:rsidP="00F36E18">
      <w:pPr>
        <w:autoSpaceDE w:val="0"/>
        <w:autoSpaceDN w:val="0"/>
        <w:adjustRightInd w:val="0"/>
        <w:ind w:right="-93"/>
        <w:jc w:val="both"/>
        <w:rPr>
          <w:rFonts w:ascii="Arial" w:eastAsia="Calibri" w:hAnsi="Arial" w:cs="Arial"/>
          <w:sz w:val="22"/>
          <w:szCs w:val="22"/>
          <w:lang w:val="es-CL" w:eastAsia="es-CL"/>
        </w:rPr>
      </w:pPr>
      <w:r w:rsidRPr="00252C1F">
        <w:rPr>
          <w:rFonts w:ascii="Arial" w:eastAsia="Calibri" w:hAnsi="Arial" w:cs="Arial"/>
          <w:sz w:val="22"/>
          <w:szCs w:val="22"/>
          <w:lang w:val="es-CL" w:eastAsia="es-CL"/>
        </w:rPr>
        <w:t>Las empresas que no sean receptoras del aporte de inversionistas extranjeros, y que hayan suscrito un contrato</w:t>
      </w:r>
      <w:r w:rsidR="003F63EC" w:rsidRPr="00252C1F">
        <w:rPr>
          <w:rFonts w:ascii="Arial" w:eastAsia="Calibri" w:hAnsi="Arial" w:cs="Arial"/>
          <w:sz w:val="22"/>
          <w:szCs w:val="22"/>
          <w:lang w:val="es-CL" w:eastAsia="es-CL"/>
        </w:rPr>
        <w:t xml:space="preserve"> </w:t>
      </w:r>
      <w:r w:rsidRPr="00252C1F">
        <w:rPr>
          <w:rFonts w:ascii="Arial" w:eastAsia="Calibri" w:hAnsi="Arial" w:cs="Arial"/>
          <w:sz w:val="22"/>
          <w:szCs w:val="22"/>
          <w:lang w:val="es-CL" w:eastAsia="es-CL"/>
        </w:rPr>
        <w:t>con el Estado de Chile ante el Ministerio de Economía, Fomento y Turismo, deberán</w:t>
      </w:r>
      <w:r w:rsidR="003F63EC" w:rsidRPr="00252C1F">
        <w:rPr>
          <w:rFonts w:ascii="Arial" w:eastAsia="Calibri" w:hAnsi="Arial" w:cs="Arial"/>
          <w:sz w:val="22"/>
          <w:szCs w:val="22"/>
          <w:lang w:val="es-CL" w:eastAsia="es-CL"/>
        </w:rPr>
        <w:t xml:space="preserve"> </w:t>
      </w:r>
      <w:r w:rsidRPr="00252C1F">
        <w:rPr>
          <w:rFonts w:ascii="Arial" w:eastAsia="Calibri" w:hAnsi="Arial" w:cs="Arial"/>
          <w:sz w:val="22"/>
          <w:szCs w:val="22"/>
          <w:lang w:val="es-CL" w:eastAsia="es-CL"/>
        </w:rPr>
        <w:t xml:space="preserve">presentar la solicitud ante este mismo organismo. </w:t>
      </w:r>
    </w:p>
    <w:p w:rsidR="003F63EC" w:rsidRPr="00252C1F" w:rsidRDefault="003F63EC" w:rsidP="00F36E18">
      <w:pPr>
        <w:autoSpaceDE w:val="0"/>
        <w:autoSpaceDN w:val="0"/>
        <w:adjustRightInd w:val="0"/>
        <w:ind w:right="-93"/>
        <w:jc w:val="both"/>
        <w:rPr>
          <w:rFonts w:ascii="Arial" w:eastAsia="Calibri" w:hAnsi="Arial" w:cs="Arial"/>
          <w:sz w:val="22"/>
          <w:szCs w:val="22"/>
          <w:lang w:val="es-CL" w:eastAsia="es-CL"/>
        </w:rPr>
      </w:pPr>
    </w:p>
    <w:p w:rsidR="003F63EC" w:rsidRPr="00252C1F" w:rsidRDefault="00F36E18" w:rsidP="00F36E18">
      <w:pPr>
        <w:autoSpaceDE w:val="0"/>
        <w:autoSpaceDN w:val="0"/>
        <w:adjustRightInd w:val="0"/>
        <w:ind w:right="-93"/>
        <w:jc w:val="both"/>
        <w:rPr>
          <w:rFonts w:ascii="Arial" w:eastAsia="Calibri" w:hAnsi="Arial" w:cs="Arial"/>
          <w:sz w:val="22"/>
          <w:szCs w:val="22"/>
          <w:lang w:val="es-CL" w:eastAsia="es-CL"/>
        </w:rPr>
      </w:pPr>
      <w:r w:rsidRPr="00252C1F">
        <w:rPr>
          <w:rFonts w:ascii="Arial" w:eastAsia="Calibri" w:hAnsi="Arial" w:cs="Arial"/>
          <w:sz w:val="22"/>
          <w:szCs w:val="22"/>
          <w:lang w:val="es-CL" w:eastAsia="es-CL"/>
        </w:rPr>
        <w:t xml:space="preserve">Luego de </w:t>
      </w:r>
      <w:r w:rsidR="00533202" w:rsidRPr="00252C1F">
        <w:rPr>
          <w:rFonts w:ascii="Arial" w:eastAsia="Calibri" w:hAnsi="Arial" w:cs="Arial"/>
          <w:sz w:val="22"/>
          <w:szCs w:val="22"/>
          <w:lang w:val="es-CL" w:eastAsia="es-CL"/>
        </w:rPr>
        <w:t>presentada</w:t>
      </w:r>
      <w:r w:rsidR="003F63EC" w:rsidRPr="00252C1F">
        <w:rPr>
          <w:rFonts w:ascii="Arial" w:eastAsia="Calibri" w:hAnsi="Arial" w:cs="Arial"/>
          <w:sz w:val="22"/>
          <w:szCs w:val="22"/>
          <w:lang w:val="es-CL" w:eastAsia="es-CL"/>
        </w:rPr>
        <w:t xml:space="preserve"> esta solicitud</w:t>
      </w:r>
      <w:r w:rsidRPr="00252C1F">
        <w:rPr>
          <w:rFonts w:ascii="Arial" w:eastAsia="Calibri" w:hAnsi="Arial" w:cs="Arial"/>
          <w:sz w:val="22"/>
          <w:szCs w:val="22"/>
          <w:lang w:val="es-CL" w:eastAsia="es-CL"/>
        </w:rPr>
        <w:t>, y previa resolución de</w:t>
      </w:r>
      <w:r w:rsidR="003F63EC" w:rsidRPr="00252C1F">
        <w:rPr>
          <w:rFonts w:ascii="Arial" w:eastAsia="Calibri" w:hAnsi="Arial" w:cs="Arial"/>
          <w:sz w:val="22"/>
          <w:szCs w:val="22"/>
          <w:lang w:val="es-CL" w:eastAsia="es-CL"/>
        </w:rPr>
        <w:t xml:space="preserve"> </w:t>
      </w:r>
      <w:smartTag w:uri="urn:schemas-microsoft-com:office:smarttags" w:element="PersonName">
        <w:smartTagPr>
          <w:attr w:name="ProductID" w:val="la Vicepresidencia Ejecutiva"/>
        </w:smartTagPr>
        <w:r w:rsidRPr="00252C1F">
          <w:rPr>
            <w:rFonts w:ascii="Arial" w:eastAsia="Calibri" w:hAnsi="Arial" w:cs="Arial"/>
            <w:sz w:val="22"/>
            <w:szCs w:val="22"/>
            <w:lang w:val="es-CL" w:eastAsia="es-CL"/>
          </w:rPr>
          <w:t>la Vicepresidencia Ejecutiva</w:t>
        </w:r>
      </w:smartTag>
      <w:r w:rsidRPr="00252C1F">
        <w:rPr>
          <w:rFonts w:ascii="Arial" w:eastAsia="Calibri" w:hAnsi="Arial" w:cs="Arial"/>
          <w:sz w:val="22"/>
          <w:szCs w:val="22"/>
          <w:lang w:val="es-CL" w:eastAsia="es-CL"/>
        </w:rPr>
        <w:t xml:space="preserve"> del </w:t>
      </w:r>
      <w:r w:rsidRPr="007B6925">
        <w:rPr>
          <w:rFonts w:ascii="Arial" w:eastAsia="Calibri" w:hAnsi="Arial" w:cs="Arial"/>
          <w:b/>
          <w:sz w:val="22"/>
          <w:szCs w:val="22"/>
          <w:lang w:val="es-CL" w:eastAsia="es-CL"/>
        </w:rPr>
        <w:t>CIE</w:t>
      </w:r>
      <w:r w:rsidRPr="00252C1F">
        <w:rPr>
          <w:rFonts w:ascii="Arial" w:eastAsia="Calibri" w:hAnsi="Arial" w:cs="Arial"/>
          <w:sz w:val="22"/>
          <w:szCs w:val="22"/>
          <w:lang w:val="es-CL" w:eastAsia="es-CL"/>
        </w:rPr>
        <w:t>, o del referido</w:t>
      </w:r>
      <w:r w:rsidR="003F63EC" w:rsidRPr="00252C1F">
        <w:rPr>
          <w:rFonts w:ascii="Arial" w:eastAsia="Calibri" w:hAnsi="Arial" w:cs="Arial"/>
          <w:sz w:val="22"/>
          <w:szCs w:val="22"/>
          <w:lang w:val="es-CL" w:eastAsia="es-CL"/>
        </w:rPr>
        <w:t xml:space="preserve"> </w:t>
      </w:r>
      <w:r w:rsidRPr="00252C1F">
        <w:rPr>
          <w:rFonts w:ascii="Arial" w:eastAsia="Calibri" w:hAnsi="Arial" w:cs="Arial"/>
          <w:sz w:val="22"/>
          <w:szCs w:val="22"/>
          <w:lang w:val="es-CL" w:eastAsia="es-CL"/>
        </w:rPr>
        <w:t>Ministerio, según sea el caso, se procederá a suscribir la modificación al contrato de</w:t>
      </w:r>
      <w:r w:rsidR="003F63EC" w:rsidRPr="00252C1F">
        <w:rPr>
          <w:rFonts w:ascii="Arial" w:eastAsia="Calibri" w:hAnsi="Arial" w:cs="Arial"/>
          <w:sz w:val="22"/>
          <w:szCs w:val="22"/>
          <w:lang w:val="es-CL" w:eastAsia="es-CL"/>
        </w:rPr>
        <w:t xml:space="preserve"> </w:t>
      </w:r>
      <w:r w:rsidRPr="00252C1F">
        <w:rPr>
          <w:rFonts w:ascii="Arial" w:eastAsia="Calibri" w:hAnsi="Arial" w:cs="Arial"/>
          <w:sz w:val="22"/>
          <w:szCs w:val="22"/>
          <w:lang w:val="es-CL" w:eastAsia="es-CL"/>
        </w:rPr>
        <w:t>inversión correspondiente, la cual producirá sus efectos desde la</w:t>
      </w:r>
      <w:r w:rsidR="003F63EC" w:rsidRPr="00252C1F">
        <w:rPr>
          <w:rFonts w:ascii="Arial" w:eastAsia="Calibri" w:hAnsi="Arial" w:cs="Arial"/>
          <w:sz w:val="22"/>
          <w:szCs w:val="22"/>
          <w:lang w:val="es-CL" w:eastAsia="es-CL"/>
        </w:rPr>
        <w:t xml:space="preserve"> </w:t>
      </w:r>
      <w:r w:rsidRPr="00252C1F">
        <w:rPr>
          <w:rFonts w:ascii="Arial" w:eastAsia="Calibri" w:hAnsi="Arial" w:cs="Arial"/>
          <w:sz w:val="22"/>
          <w:szCs w:val="22"/>
          <w:lang w:val="es-CL" w:eastAsia="es-CL"/>
        </w:rPr>
        <w:t xml:space="preserve">fecha de la solicitud respectiva. </w:t>
      </w:r>
    </w:p>
    <w:p w:rsidR="003F63EC" w:rsidRPr="00252C1F" w:rsidRDefault="003F63EC" w:rsidP="00F36E18">
      <w:pPr>
        <w:autoSpaceDE w:val="0"/>
        <w:autoSpaceDN w:val="0"/>
        <w:adjustRightInd w:val="0"/>
        <w:ind w:right="-93"/>
        <w:jc w:val="both"/>
        <w:rPr>
          <w:rFonts w:ascii="Arial" w:eastAsia="Calibri" w:hAnsi="Arial" w:cs="Arial"/>
          <w:sz w:val="22"/>
          <w:szCs w:val="22"/>
          <w:lang w:val="es-CL" w:eastAsia="es-CL"/>
        </w:rPr>
      </w:pPr>
    </w:p>
    <w:p w:rsidR="00F36E18" w:rsidRPr="00252C1F" w:rsidRDefault="00F36E18" w:rsidP="00F36E18">
      <w:pPr>
        <w:autoSpaceDE w:val="0"/>
        <w:autoSpaceDN w:val="0"/>
        <w:adjustRightInd w:val="0"/>
        <w:ind w:right="-93"/>
        <w:jc w:val="both"/>
        <w:rPr>
          <w:rFonts w:ascii="Arial" w:hAnsi="Arial" w:cs="Arial"/>
          <w:sz w:val="22"/>
          <w:szCs w:val="22"/>
        </w:rPr>
      </w:pPr>
      <w:r w:rsidRPr="00252C1F">
        <w:rPr>
          <w:rFonts w:ascii="Arial" w:eastAsia="Calibri" w:hAnsi="Arial" w:cs="Arial"/>
          <w:sz w:val="22"/>
          <w:szCs w:val="22"/>
          <w:lang w:val="es-CL" w:eastAsia="es-CL"/>
        </w:rPr>
        <w:t>En la resolución y en la modificación al contrato de</w:t>
      </w:r>
      <w:r w:rsidR="003F63EC" w:rsidRPr="00252C1F">
        <w:rPr>
          <w:rFonts w:ascii="Arial" w:eastAsia="Calibri" w:hAnsi="Arial" w:cs="Arial"/>
          <w:sz w:val="22"/>
          <w:szCs w:val="22"/>
          <w:lang w:val="es-CL" w:eastAsia="es-CL"/>
        </w:rPr>
        <w:t xml:space="preserve"> </w:t>
      </w:r>
      <w:r w:rsidRPr="00252C1F">
        <w:rPr>
          <w:rFonts w:ascii="Arial" w:eastAsia="Calibri" w:hAnsi="Arial" w:cs="Arial"/>
          <w:sz w:val="22"/>
          <w:szCs w:val="22"/>
          <w:lang w:val="es-CL" w:eastAsia="es-CL"/>
        </w:rPr>
        <w:t xml:space="preserve">inversión extranjera, se </w:t>
      </w:r>
      <w:r w:rsidR="007B6925">
        <w:rPr>
          <w:rFonts w:ascii="Arial" w:eastAsia="Calibri" w:hAnsi="Arial" w:cs="Arial"/>
          <w:sz w:val="22"/>
          <w:szCs w:val="22"/>
          <w:lang w:val="es-CL" w:eastAsia="es-CL"/>
        </w:rPr>
        <w:t xml:space="preserve">debe </w:t>
      </w:r>
      <w:r w:rsidRPr="00252C1F">
        <w:rPr>
          <w:rFonts w:ascii="Arial" w:eastAsia="Calibri" w:hAnsi="Arial" w:cs="Arial"/>
          <w:sz w:val="22"/>
          <w:szCs w:val="22"/>
          <w:lang w:val="es-CL" w:eastAsia="es-CL"/>
        </w:rPr>
        <w:t>dejar constancia de los derechos y obligaciones</w:t>
      </w:r>
      <w:r w:rsidR="003F63EC" w:rsidRPr="00252C1F">
        <w:rPr>
          <w:rFonts w:ascii="Arial" w:eastAsia="Calibri" w:hAnsi="Arial" w:cs="Arial"/>
          <w:sz w:val="22"/>
          <w:szCs w:val="22"/>
          <w:lang w:val="es-CL" w:eastAsia="es-CL"/>
        </w:rPr>
        <w:t xml:space="preserve"> </w:t>
      </w:r>
      <w:r w:rsidRPr="00252C1F">
        <w:rPr>
          <w:rFonts w:ascii="Arial" w:eastAsia="Calibri" w:hAnsi="Arial" w:cs="Arial"/>
          <w:sz w:val="22"/>
          <w:szCs w:val="22"/>
          <w:lang w:val="es-CL" w:eastAsia="es-CL"/>
        </w:rPr>
        <w:t>referidos en e</w:t>
      </w:r>
      <w:r w:rsidR="003F63EC" w:rsidRPr="00252C1F">
        <w:rPr>
          <w:rFonts w:ascii="Arial" w:eastAsia="Calibri" w:hAnsi="Arial" w:cs="Arial"/>
          <w:sz w:val="22"/>
          <w:szCs w:val="22"/>
          <w:lang w:val="es-CL" w:eastAsia="es-CL"/>
        </w:rPr>
        <w:t>l</w:t>
      </w:r>
      <w:r w:rsidRPr="00252C1F">
        <w:rPr>
          <w:rFonts w:ascii="Arial" w:eastAsia="Calibri" w:hAnsi="Arial" w:cs="Arial"/>
          <w:sz w:val="22"/>
          <w:szCs w:val="22"/>
          <w:lang w:val="es-CL" w:eastAsia="es-CL"/>
        </w:rPr>
        <w:t xml:space="preserve"> artículo</w:t>
      </w:r>
      <w:r w:rsidR="003F63EC" w:rsidRPr="00252C1F">
        <w:rPr>
          <w:rFonts w:ascii="Arial" w:hAnsi="Arial" w:cs="Arial"/>
          <w:sz w:val="22"/>
          <w:szCs w:val="22"/>
        </w:rPr>
        <w:t xml:space="preserve"> 2° </w:t>
      </w:r>
      <w:r w:rsidR="00392243" w:rsidRPr="00252C1F">
        <w:rPr>
          <w:rFonts w:ascii="Arial" w:hAnsi="Arial" w:cs="Arial"/>
          <w:sz w:val="22"/>
          <w:szCs w:val="22"/>
        </w:rPr>
        <w:t>t</w:t>
      </w:r>
      <w:r w:rsidR="003F63EC" w:rsidRPr="00252C1F">
        <w:rPr>
          <w:rFonts w:ascii="Arial" w:hAnsi="Arial" w:cs="Arial"/>
          <w:sz w:val="22"/>
          <w:szCs w:val="22"/>
        </w:rPr>
        <w:t xml:space="preserve">ransitorio de </w:t>
      </w:r>
      <w:smartTag w:uri="urn:schemas-microsoft-com:office:smarttags" w:element="PersonName">
        <w:smartTagPr>
          <w:attr w:name="ProductID" w:val="la Ley"/>
        </w:smartTagPr>
        <w:r w:rsidR="003F63EC" w:rsidRPr="00252C1F">
          <w:rPr>
            <w:rFonts w:ascii="Arial" w:hAnsi="Arial" w:cs="Arial"/>
            <w:sz w:val="22"/>
            <w:szCs w:val="22"/>
          </w:rPr>
          <w:t>la Ley</w:t>
        </w:r>
      </w:smartTag>
      <w:r w:rsidR="003F63EC" w:rsidRPr="00252C1F">
        <w:rPr>
          <w:rFonts w:ascii="Arial" w:hAnsi="Arial" w:cs="Arial"/>
          <w:sz w:val="22"/>
          <w:szCs w:val="22"/>
        </w:rPr>
        <w:t xml:space="preserve"> 20.469</w:t>
      </w:r>
      <w:r w:rsidR="00F56847">
        <w:rPr>
          <w:rFonts w:ascii="Arial" w:hAnsi="Arial" w:cs="Arial"/>
          <w:sz w:val="22"/>
          <w:szCs w:val="22"/>
        </w:rPr>
        <w:t>, tal como lo dispone el inciso 6° de ese art</w:t>
      </w:r>
      <w:r w:rsidR="001A6A24">
        <w:rPr>
          <w:rFonts w:ascii="Arial" w:hAnsi="Arial" w:cs="Arial"/>
          <w:sz w:val="22"/>
          <w:szCs w:val="22"/>
        </w:rPr>
        <w:t>ículo.</w:t>
      </w:r>
    </w:p>
    <w:p w:rsidR="003F63EC" w:rsidRPr="007B6925" w:rsidRDefault="003F63EC" w:rsidP="00F36E18">
      <w:pPr>
        <w:autoSpaceDE w:val="0"/>
        <w:autoSpaceDN w:val="0"/>
        <w:adjustRightInd w:val="0"/>
        <w:ind w:right="-93"/>
        <w:jc w:val="both"/>
        <w:rPr>
          <w:rFonts w:ascii="Arial" w:eastAsia="Calibri" w:hAnsi="Arial" w:cs="Arial"/>
          <w:sz w:val="22"/>
          <w:szCs w:val="22"/>
          <w:lang w:eastAsia="es-CL"/>
        </w:rPr>
      </w:pPr>
    </w:p>
    <w:p w:rsidR="00F36E18" w:rsidRPr="00252C1F" w:rsidRDefault="00F36E18" w:rsidP="003F63EC">
      <w:pPr>
        <w:autoSpaceDE w:val="0"/>
        <w:autoSpaceDN w:val="0"/>
        <w:adjustRightInd w:val="0"/>
        <w:ind w:right="-93"/>
        <w:jc w:val="both"/>
        <w:rPr>
          <w:rFonts w:ascii="Arial" w:hAnsi="Arial" w:cs="Arial"/>
          <w:sz w:val="22"/>
          <w:szCs w:val="22"/>
        </w:rPr>
      </w:pPr>
      <w:r w:rsidRPr="00252C1F">
        <w:rPr>
          <w:rFonts w:ascii="Arial" w:eastAsia="Calibri" w:hAnsi="Arial" w:cs="Arial"/>
          <w:sz w:val="22"/>
          <w:szCs w:val="22"/>
          <w:lang w:val="es-CL" w:eastAsia="es-CL"/>
        </w:rPr>
        <w:t xml:space="preserve">La solicitud </w:t>
      </w:r>
      <w:r w:rsidR="003F63EC" w:rsidRPr="00252C1F">
        <w:rPr>
          <w:rFonts w:ascii="Arial" w:eastAsia="Calibri" w:hAnsi="Arial" w:cs="Arial"/>
          <w:sz w:val="22"/>
          <w:szCs w:val="22"/>
          <w:lang w:val="es-CL" w:eastAsia="es-CL"/>
        </w:rPr>
        <w:t xml:space="preserve">antes </w:t>
      </w:r>
      <w:r w:rsidR="007F4C30" w:rsidRPr="00252C1F">
        <w:rPr>
          <w:rFonts w:ascii="Arial" w:eastAsia="Calibri" w:hAnsi="Arial" w:cs="Arial"/>
          <w:sz w:val="22"/>
          <w:szCs w:val="22"/>
          <w:lang w:val="es-CL" w:eastAsia="es-CL"/>
        </w:rPr>
        <w:t>indica</w:t>
      </w:r>
      <w:r w:rsidRPr="00252C1F">
        <w:rPr>
          <w:rFonts w:ascii="Arial" w:eastAsia="Calibri" w:hAnsi="Arial" w:cs="Arial"/>
          <w:sz w:val="22"/>
          <w:szCs w:val="22"/>
          <w:lang w:val="es-CL" w:eastAsia="es-CL"/>
        </w:rPr>
        <w:t xml:space="preserve">da debe presentarse dentro del plazo de </w:t>
      </w:r>
      <w:r w:rsidR="007B6925">
        <w:rPr>
          <w:rFonts w:ascii="Arial" w:eastAsia="Calibri" w:hAnsi="Arial" w:cs="Arial"/>
          <w:sz w:val="22"/>
          <w:szCs w:val="22"/>
          <w:lang w:val="es-CL" w:eastAsia="es-CL"/>
        </w:rPr>
        <w:t>60</w:t>
      </w:r>
      <w:r w:rsidRPr="00252C1F">
        <w:rPr>
          <w:rFonts w:ascii="Arial" w:eastAsia="Calibri" w:hAnsi="Arial" w:cs="Arial"/>
          <w:sz w:val="22"/>
          <w:szCs w:val="22"/>
          <w:lang w:val="es-CL" w:eastAsia="es-CL"/>
        </w:rPr>
        <w:t xml:space="preserve"> días hábiles a contar de la fecha de entrada en vigencia de</w:t>
      </w:r>
      <w:r w:rsidR="003F63EC" w:rsidRPr="00252C1F">
        <w:rPr>
          <w:rFonts w:ascii="Arial" w:eastAsia="Calibri" w:hAnsi="Arial" w:cs="Arial"/>
          <w:sz w:val="22"/>
          <w:szCs w:val="22"/>
          <w:lang w:val="es-CL" w:eastAsia="es-CL"/>
        </w:rPr>
        <w:t xml:space="preserve"> </w:t>
      </w:r>
      <w:r w:rsidRPr="00252C1F">
        <w:rPr>
          <w:rFonts w:ascii="Arial" w:eastAsia="Calibri" w:hAnsi="Arial" w:cs="Arial"/>
          <w:sz w:val="22"/>
          <w:szCs w:val="22"/>
          <w:lang w:val="es-CL" w:eastAsia="es-CL"/>
        </w:rPr>
        <w:t xml:space="preserve">la </w:t>
      </w:r>
      <w:r w:rsidR="003F63EC" w:rsidRPr="00252C1F">
        <w:rPr>
          <w:rFonts w:ascii="Arial" w:eastAsia="Calibri" w:hAnsi="Arial" w:cs="Arial"/>
          <w:sz w:val="22"/>
          <w:szCs w:val="22"/>
          <w:lang w:val="es-CL" w:eastAsia="es-CL"/>
        </w:rPr>
        <w:t>L</w:t>
      </w:r>
      <w:r w:rsidRPr="00252C1F">
        <w:rPr>
          <w:rFonts w:ascii="Arial" w:eastAsia="Calibri" w:hAnsi="Arial" w:cs="Arial"/>
          <w:sz w:val="22"/>
          <w:szCs w:val="22"/>
          <w:lang w:val="es-CL" w:eastAsia="es-CL"/>
        </w:rPr>
        <w:t>ey</w:t>
      </w:r>
      <w:r w:rsidR="003F63EC" w:rsidRPr="00252C1F">
        <w:rPr>
          <w:rFonts w:ascii="Arial" w:eastAsia="Calibri" w:hAnsi="Arial" w:cs="Arial"/>
          <w:sz w:val="22"/>
          <w:szCs w:val="22"/>
          <w:lang w:val="es-CL" w:eastAsia="es-CL"/>
        </w:rPr>
        <w:t xml:space="preserve"> 20.469, esto es, a contar </w:t>
      </w:r>
      <w:r w:rsidR="000029D5" w:rsidRPr="00252C1F">
        <w:rPr>
          <w:rFonts w:ascii="Arial" w:eastAsia="Calibri" w:hAnsi="Arial" w:cs="Arial"/>
          <w:sz w:val="22"/>
          <w:szCs w:val="22"/>
          <w:lang w:val="es-CL" w:eastAsia="es-CL"/>
        </w:rPr>
        <w:t>de</w:t>
      </w:r>
      <w:r w:rsidR="00392243" w:rsidRPr="00252C1F">
        <w:rPr>
          <w:rFonts w:ascii="Arial" w:eastAsia="Calibri" w:hAnsi="Arial" w:cs="Arial"/>
          <w:sz w:val="22"/>
          <w:szCs w:val="22"/>
          <w:lang w:val="es-CL" w:eastAsia="es-CL"/>
        </w:rPr>
        <w:t>l 21 de octubre de 2010, fecha de su publicación en el Diario Oficial</w:t>
      </w:r>
      <w:r w:rsidR="00227973" w:rsidRPr="00252C1F">
        <w:rPr>
          <w:rFonts w:ascii="Arial" w:eastAsia="Calibri" w:hAnsi="Arial" w:cs="Arial"/>
          <w:sz w:val="22"/>
          <w:szCs w:val="22"/>
          <w:lang w:val="es-CL" w:eastAsia="es-CL"/>
        </w:rPr>
        <w:t>, por lo que el</w:t>
      </w:r>
      <w:r w:rsidR="007B6925">
        <w:rPr>
          <w:rFonts w:ascii="Arial" w:eastAsia="Calibri" w:hAnsi="Arial" w:cs="Arial"/>
          <w:sz w:val="22"/>
          <w:szCs w:val="22"/>
          <w:lang w:val="es-CL" w:eastAsia="es-CL"/>
        </w:rPr>
        <w:t xml:space="preserve"> </w:t>
      </w:r>
      <w:r w:rsidR="000B7CC2">
        <w:rPr>
          <w:rFonts w:ascii="Arial" w:eastAsia="Calibri" w:hAnsi="Arial" w:cs="Arial"/>
          <w:sz w:val="22"/>
          <w:szCs w:val="22"/>
          <w:lang w:val="es-CL" w:eastAsia="es-CL"/>
        </w:rPr>
        <w:t>referido plazo venc</w:t>
      </w:r>
      <w:r w:rsidR="00227973" w:rsidRPr="00252C1F">
        <w:rPr>
          <w:rFonts w:ascii="Arial" w:eastAsia="Calibri" w:hAnsi="Arial" w:cs="Arial"/>
          <w:sz w:val="22"/>
          <w:szCs w:val="22"/>
          <w:lang w:val="es-CL" w:eastAsia="es-CL"/>
        </w:rPr>
        <w:t>e el día lunes 17 de enero de 2011.</w:t>
      </w:r>
    </w:p>
    <w:p w:rsidR="00174EBC" w:rsidRDefault="00174EBC" w:rsidP="00F36E18">
      <w:pPr>
        <w:ind w:right="-93"/>
        <w:rPr>
          <w:rFonts w:ascii="Arial" w:hAnsi="Arial" w:cs="Arial"/>
          <w:sz w:val="22"/>
          <w:szCs w:val="22"/>
        </w:rPr>
      </w:pPr>
    </w:p>
    <w:p w:rsidR="00315326" w:rsidRPr="00252C1F" w:rsidRDefault="00315326" w:rsidP="00F36E18">
      <w:pPr>
        <w:ind w:right="-93"/>
        <w:rPr>
          <w:rFonts w:ascii="Arial" w:hAnsi="Arial" w:cs="Arial"/>
          <w:sz w:val="22"/>
          <w:szCs w:val="22"/>
        </w:rPr>
      </w:pPr>
    </w:p>
    <w:p w:rsidR="000029D5" w:rsidRPr="007B6925" w:rsidRDefault="007B6925" w:rsidP="00216A25">
      <w:pPr>
        <w:numPr>
          <w:ilvl w:val="0"/>
          <w:numId w:val="18"/>
        </w:numPr>
        <w:tabs>
          <w:tab w:val="left" w:pos="426"/>
        </w:tabs>
        <w:autoSpaceDE w:val="0"/>
        <w:autoSpaceDN w:val="0"/>
        <w:adjustRightInd w:val="0"/>
        <w:ind w:left="0" w:right="-93" w:firstLine="0"/>
        <w:jc w:val="both"/>
        <w:rPr>
          <w:rFonts w:ascii="Arial" w:hAnsi="Arial"/>
          <w:b/>
          <w:spacing w:val="-3"/>
          <w:sz w:val="22"/>
          <w:lang w:val="es-CL"/>
        </w:rPr>
      </w:pPr>
      <w:r w:rsidRPr="007B6925">
        <w:rPr>
          <w:rFonts w:ascii="Arial" w:hAnsi="Arial"/>
          <w:b/>
          <w:spacing w:val="-3"/>
          <w:sz w:val="22"/>
          <w:lang w:val="es-CL"/>
        </w:rPr>
        <w:t>Inversionistas extranjeros</w:t>
      </w:r>
      <w:r w:rsidR="00D36D50">
        <w:rPr>
          <w:rFonts w:ascii="Arial" w:hAnsi="Arial"/>
          <w:b/>
          <w:spacing w:val="-3"/>
          <w:sz w:val="22"/>
          <w:lang w:val="es-CL"/>
        </w:rPr>
        <w:t xml:space="preserve"> que hubieren </w:t>
      </w:r>
      <w:r w:rsidRPr="007B6925">
        <w:rPr>
          <w:rFonts w:ascii="Arial" w:hAnsi="Arial"/>
          <w:b/>
          <w:spacing w:val="-3"/>
          <w:sz w:val="22"/>
          <w:lang w:val="es-CL"/>
        </w:rPr>
        <w:t>present</w:t>
      </w:r>
      <w:r w:rsidR="00D36D50">
        <w:rPr>
          <w:rFonts w:ascii="Arial" w:hAnsi="Arial"/>
          <w:b/>
          <w:spacing w:val="-3"/>
          <w:sz w:val="22"/>
          <w:lang w:val="es-CL"/>
        </w:rPr>
        <w:t>ado</w:t>
      </w:r>
      <w:r w:rsidRPr="007B6925">
        <w:rPr>
          <w:rFonts w:ascii="Arial" w:hAnsi="Arial"/>
          <w:b/>
          <w:spacing w:val="-3"/>
          <w:sz w:val="22"/>
          <w:lang w:val="es-CL"/>
        </w:rPr>
        <w:t xml:space="preserve"> una solicitud de inversión con anterioridad al 31 de agosto de 2010.</w:t>
      </w:r>
    </w:p>
    <w:p w:rsidR="007B6925" w:rsidRPr="00252C1F" w:rsidRDefault="007B6925" w:rsidP="007B6925">
      <w:pPr>
        <w:autoSpaceDE w:val="0"/>
        <w:autoSpaceDN w:val="0"/>
        <w:adjustRightInd w:val="0"/>
        <w:ind w:right="-93"/>
        <w:jc w:val="both"/>
        <w:rPr>
          <w:rFonts w:ascii="Arial" w:eastAsia="Calibri" w:hAnsi="Arial" w:cs="Arial"/>
          <w:b/>
          <w:sz w:val="22"/>
          <w:szCs w:val="22"/>
          <w:lang w:val="es-CL" w:eastAsia="es-CL"/>
        </w:rPr>
      </w:pPr>
    </w:p>
    <w:p w:rsidR="000029D5" w:rsidRPr="00252C1F" w:rsidRDefault="00973747" w:rsidP="001D088B">
      <w:pPr>
        <w:autoSpaceDE w:val="0"/>
        <w:autoSpaceDN w:val="0"/>
        <w:adjustRightInd w:val="0"/>
        <w:ind w:right="-93"/>
        <w:jc w:val="both"/>
        <w:rPr>
          <w:rFonts w:ascii="Arial" w:eastAsia="Calibri" w:hAnsi="Arial" w:cs="Arial"/>
          <w:sz w:val="22"/>
          <w:szCs w:val="22"/>
          <w:lang w:val="es-CL" w:eastAsia="es-CL"/>
        </w:rPr>
      </w:pPr>
      <w:r w:rsidRPr="00252C1F">
        <w:rPr>
          <w:rFonts w:ascii="Arial" w:eastAsia="Calibri" w:hAnsi="Arial" w:cs="Arial"/>
          <w:sz w:val="22"/>
          <w:szCs w:val="22"/>
          <w:lang w:val="es-CL" w:eastAsia="es-CL"/>
        </w:rPr>
        <w:t xml:space="preserve">El inciso 1°, del artículo 3° </w:t>
      </w:r>
      <w:r w:rsidR="00AC2688" w:rsidRPr="00252C1F">
        <w:rPr>
          <w:rFonts w:ascii="Arial" w:eastAsia="Calibri" w:hAnsi="Arial" w:cs="Arial"/>
          <w:sz w:val="22"/>
          <w:szCs w:val="22"/>
          <w:lang w:val="es-CL" w:eastAsia="es-CL"/>
        </w:rPr>
        <w:t>t</w:t>
      </w:r>
      <w:r w:rsidRPr="00252C1F">
        <w:rPr>
          <w:rFonts w:ascii="Arial" w:eastAsia="Calibri" w:hAnsi="Arial" w:cs="Arial"/>
          <w:sz w:val="22"/>
          <w:szCs w:val="22"/>
          <w:lang w:val="es-CL" w:eastAsia="es-CL"/>
        </w:rPr>
        <w:t>ransitorio, de la Ley 20.</w:t>
      </w:r>
      <w:r w:rsidR="00AC2688" w:rsidRPr="00252C1F">
        <w:rPr>
          <w:rFonts w:ascii="Arial" w:eastAsia="Calibri" w:hAnsi="Arial" w:cs="Arial"/>
          <w:sz w:val="22"/>
          <w:szCs w:val="22"/>
          <w:lang w:val="es-CL" w:eastAsia="es-CL"/>
        </w:rPr>
        <w:t>469</w:t>
      </w:r>
      <w:r w:rsidRPr="00252C1F">
        <w:rPr>
          <w:rFonts w:ascii="Arial" w:eastAsia="Calibri" w:hAnsi="Arial" w:cs="Arial"/>
          <w:sz w:val="22"/>
          <w:szCs w:val="22"/>
          <w:lang w:val="es-CL" w:eastAsia="es-CL"/>
        </w:rPr>
        <w:t xml:space="preserve">, dispone que a </w:t>
      </w:r>
      <w:r w:rsidR="001D088B" w:rsidRPr="00252C1F">
        <w:rPr>
          <w:rFonts w:ascii="Arial" w:eastAsia="Calibri" w:hAnsi="Arial" w:cs="Arial"/>
          <w:sz w:val="22"/>
          <w:szCs w:val="22"/>
          <w:lang w:val="es-CL" w:eastAsia="es-CL"/>
        </w:rPr>
        <w:t xml:space="preserve">estos contribuyentes </w:t>
      </w:r>
      <w:r w:rsidR="000029D5" w:rsidRPr="00252C1F">
        <w:rPr>
          <w:rFonts w:ascii="Arial" w:eastAsia="Calibri" w:hAnsi="Arial" w:cs="Arial"/>
          <w:sz w:val="22"/>
          <w:szCs w:val="22"/>
          <w:lang w:val="es-CL" w:eastAsia="es-CL"/>
        </w:rPr>
        <w:t>les serán aplicables las tasas contenidas en el N°1)</w:t>
      </w:r>
      <w:r w:rsidR="00D64372" w:rsidRPr="00252C1F">
        <w:rPr>
          <w:rFonts w:ascii="Arial" w:eastAsia="Calibri" w:hAnsi="Arial" w:cs="Arial"/>
          <w:sz w:val="22"/>
          <w:szCs w:val="22"/>
          <w:lang w:val="es-CL" w:eastAsia="es-CL"/>
        </w:rPr>
        <w:t>,</w:t>
      </w:r>
      <w:r w:rsidR="000029D5" w:rsidRPr="00252C1F">
        <w:rPr>
          <w:rFonts w:ascii="Arial" w:eastAsia="Calibri" w:hAnsi="Arial" w:cs="Arial"/>
          <w:sz w:val="22"/>
          <w:szCs w:val="22"/>
          <w:lang w:val="es-CL" w:eastAsia="es-CL"/>
        </w:rPr>
        <w:t xml:space="preserve"> del artículo 1°</w:t>
      </w:r>
      <w:r w:rsidR="00D64372" w:rsidRPr="00252C1F">
        <w:rPr>
          <w:rFonts w:ascii="Arial" w:eastAsia="Calibri" w:hAnsi="Arial" w:cs="Arial"/>
          <w:sz w:val="22"/>
          <w:szCs w:val="22"/>
          <w:lang w:val="es-CL" w:eastAsia="es-CL"/>
        </w:rPr>
        <w:t>,</w:t>
      </w:r>
      <w:r w:rsidR="001D088B" w:rsidRPr="00252C1F">
        <w:rPr>
          <w:rFonts w:ascii="Arial" w:eastAsia="Calibri" w:hAnsi="Arial" w:cs="Arial"/>
          <w:sz w:val="22"/>
          <w:szCs w:val="22"/>
          <w:lang w:val="es-CL" w:eastAsia="es-CL"/>
        </w:rPr>
        <w:t xml:space="preserve"> </w:t>
      </w:r>
      <w:r w:rsidR="000029D5" w:rsidRPr="00252C1F">
        <w:rPr>
          <w:rFonts w:ascii="Arial" w:eastAsia="Calibri" w:hAnsi="Arial" w:cs="Arial"/>
          <w:sz w:val="22"/>
          <w:szCs w:val="22"/>
          <w:lang w:val="es-CL" w:eastAsia="es-CL"/>
        </w:rPr>
        <w:t xml:space="preserve">de la </w:t>
      </w:r>
      <w:r w:rsidR="00D64372" w:rsidRPr="00252C1F">
        <w:rPr>
          <w:rFonts w:ascii="Arial" w:eastAsia="Calibri" w:hAnsi="Arial" w:cs="Arial"/>
          <w:sz w:val="22"/>
          <w:szCs w:val="22"/>
          <w:lang w:val="es-CL" w:eastAsia="es-CL"/>
        </w:rPr>
        <w:t>L</w:t>
      </w:r>
      <w:r w:rsidR="000029D5" w:rsidRPr="00252C1F">
        <w:rPr>
          <w:rFonts w:ascii="Arial" w:eastAsia="Calibri" w:hAnsi="Arial" w:cs="Arial"/>
          <w:sz w:val="22"/>
          <w:szCs w:val="22"/>
          <w:lang w:val="es-CL" w:eastAsia="es-CL"/>
        </w:rPr>
        <w:t>ey 20.026, y el régimen de invariabilidad establecido en el artículo 2°, N°</w:t>
      </w:r>
      <w:r w:rsidR="001D088B" w:rsidRPr="00252C1F">
        <w:rPr>
          <w:rFonts w:ascii="Arial" w:eastAsia="Calibri" w:hAnsi="Arial" w:cs="Arial"/>
          <w:sz w:val="22"/>
          <w:szCs w:val="22"/>
          <w:lang w:val="es-CL" w:eastAsia="es-CL"/>
        </w:rPr>
        <w:t xml:space="preserve"> </w:t>
      </w:r>
      <w:r w:rsidR="000029D5" w:rsidRPr="00252C1F">
        <w:rPr>
          <w:rFonts w:ascii="Arial" w:eastAsia="Calibri" w:hAnsi="Arial" w:cs="Arial"/>
          <w:sz w:val="22"/>
          <w:szCs w:val="22"/>
          <w:lang w:val="es-CL" w:eastAsia="es-CL"/>
        </w:rPr>
        <w:t>2), del mism</w:t>
      </w:r>
      <w:r w:rsidR="00D64372" w:rsidRPr="00252C1F">
        <w:rPr>
          <w:rFonts w:ascii="Arial" w:eastAsia="Calibri" w:hAnsi="Arial" w:cs="Arial"/>
          <w:sz w:val="22"/>
          <w:szCs w:val="22"/>
          <w:lang w:val="es-CL" w:eastAsia="es-CL"/>
        </w:rPr>
        <w:t>o</w:t>
      </w:r>
      <w:r w:rsidR="000029D5" w:rsidRPr="00252C1F">
        <w:rPr>
          <w:rFonts w:ascii="Arial" w:eastAsia="Calibri" w:hAnsi="Arial" w:cs="Arial"/>
          <w:sz w:val="22"/>
          <w:szCs w:val="22"/>
          <w:lang w:val="es-CL" w:eastAsia="es-CL"/>
        </w:rPr>
        <w:t xml:space="preserve"> </w:t>
      </w:r>
      <w:r w:rsidR="00D64372" w:rsidRPr="00252C1F">
        <w:rPr>
          <w:rFonts w:ascii="Arial" w:eastAsia="Calibri" w:hAnsi="Arial" w:cs="Arial"/>
          <w:sz w:val="22"/>
          <w:szCs w:val="22"/>
          <w:lang w:val="es-CL" w:eastAsia="es-CL"/>
        </w:rPr>
        <w:t>texto legal</w:t>
      </w:r>
      <w:r w:rsidR="000029D5" w:rsidRPr="00252C1F">
        <w:rPr>
          <w:rFonts w:ascii="Arial" w:eastAsia="Calibri" w:hAnsi="Arial" w:cs="Arial"/>
          <w:sz w:val="22"/>
          <w:szCs w:val="22"/>
          <w:lang w:val="es-CL" w:eastAsia="es-CL"/>
        </w:rPr>
        <w:t>.</w:t>
      </w:r>
    </w:p>
    <w:p w:rsidR="00B0724F" w:rsidRPr="00252C1F" w:rsidRDefault="00B0724F" w:rsidP="001D088B">
      <w:pPr>
        <w:autoSpaceDE w:val="0"/>
        <w:autoSpaceDN w:val="0"/>
        <w:adjustRightInd w:val="0"/>
        <w:ind w:right="-93"/>
        <w:jc w:val="both"/>
        <w:rPr>
          <w:rFonts w:ascii="Arial" w:eastAsia="Calibri" w:hAnsi="Arial" w:cs="Arial"/>
          <w:sz w:val="22"/>
          <w:szCs w:val="22"/>
          <w:lang w:val="es-CL" w:eastAsia="es-CL"/>
        </w:rPr>
      </w:pPr>
    </w:p>
    <w:p w:rsidR="00BD3386" w:rsidRPr="00252C1F" w:rsidRDefault="00B0724F" w:rsidP="001D088B">
      <w:pPr>
        <w:autoSpaceDE w:val="0"/>
        <w:autoSpaceDN w:val="0"/>
        <w:adjustRightInd w:val="0"/>
        <w:ind w:right="-93"/>
        <w:jc w:val="both"/>
        <w:rPr>
          <w:rFonts w:ascii="Arial" w:eastAsia="Calibri" w:hAnsi="Arial" w:cs="Arial"/>
          <w:b/>
          <w:sz w:val="22"/>
          <w:szCs w:val="22"/>
          <w:lang w:val="es-CL" w:eastAsia="es-CL"/>
        </w:rPr>
      </w:pPr>
      <w:r w:rsidRPr="00252C1F">
        <w:rPr>
          <w:rFonts w:ascii="Arial" w:eastAsia="Calibri" w:hAnsi="Arial" w:cs="Arial"/>
          <w:b/>
          <w:sz w:val="22"/>
          <w:szCs w:val="22"/>
          <w:lang w:val="es-CL" w:eastAsia="es-CL"/>
        </w:rPr>
        <w:t>(</w:t>
      </w:r>
      <w:r w:rsidR="00D66148" w:rsidRPr="00252C1F">
        <w:rPr>
          <w:rFonts w:ascii="Arial" w:eastAsia="Calibri" w:hAnsi="Arial" w:cs="Arial"/>
          <w:b/>
          <w:sz w:val="22"/>
          <w:szCs w:val="22"/>
          <w:lang w:val="es-CL" w:eastAsia="es-CL"/>
        </w:rPr>
        <w:t>2.1</w:t>
      </w:r>
      <w:r w:rsidR="007B6925">
        <w:rPr>
          <w:rFonts w:ascii="Arial" w:eastAsia="Calibri" w:hAnsi="Arial" w:cs="Arial"/>
          <w:b/>
          <w:sz w:val="22"/>
          <w:szCs w:val="22"/>
          <w:lang w:val="es-CL" w:eastAsia="es-CL"/>
        </w:rPr>
        <w:t>.</w:t>
      </w:r>
      <w:r w:rsidRPr="00252C1F">
        <w:rPr>
          <w:rFonts w:ascii="Arial" w:eastAsia="Calibri" w:hAnsi="Arial" w:cs="Arial"/>
          <w:b/>
          <w:sz w:val="22"/>
          <w:szCs w:val="22"/>
          <w:lang w:val="es-CL" w:eastAsia="es-CL"/>
        </w:rPr>
        <w:t xml:space="preserve">) </w:t>
      </w:r>
      <w:r w:rsidR="00851A28">
        <w:rPr>
          <w:rFonts w:ascii="Arial" w:eastAsia="Calibri" w:hAnsi="Arial" w:cs="Arial"/>
          <w:b/>
          <w:sz w:val="22"/>
          <w:szCs w:val="22"/>
          <w:lang w:val="es-CL" w:eastAsia="es-CL"/>
        </w:rPr>
        <w:t>Inversionistas extranjeros y empresas receptoras de sus aportes</w:t>
      </w:r>
      <w:r w:rsidR="00BD3386" w:rsidRPr="00252C1F">
        <w:rPr>
          <w:rFonts w:ascii="Arial" w:eastAsia="Calibri" w:hAnsi="Arial" w:cs="Arial"/>
          <w:b/>
          <w:sz w:val="22"/>
          <w:szCs w:val="22"/>
          <w:lang w:val="es-CL" w:eastAsia="es-CL"/>
        </w:rPr>
        <w:t>.</w:t>
      </w:r>
    </w:p>
    <w:p w:rsidR="00BD3386" w:rsidRPr="00252C1F" w:rsidRDefault="00BD3386" w:rsidP="001D088B">
      <w:pPr>
        <w:autoSpaceDE w:val="0"/>
        <w:autoSpaceDN w:val="0"/>
        <w:adjustRightInd w:val="0"/>
        <w:ind w:right="-93"/>
        <w:jc w:val="both"/>
        <w:rPr>
          <w:rFonts w:ascii="Arial" w:eastAsia="Calibri" w:hAnsi="Arial" w:cs="Arial"/>
          <w:sz w:val="22"/>
          <w:szCs w:val="22"/>
          <w:lang w:val="es-CL" w:eastAsia="es-CL"/>
        </w:rPr>
      </w:pPr>
    </w:p>
    <w:p w:rsidR="00BD3386" w:rsidRPr="00252C1F" w:rsidRDefault="00BD3386" w:rsidP="001D088B">
      <w:pPr>
        <w:autoSpaceDE w:val="0"/>
        <w:autoSpaceDN w:val="0"/>
        <w:adjustRightInd w:val="0"/>
        <w:ind w:right="-93"/>
        <w:jc w:val="both"/>
        <w:rPr>
          <w:rFonts w:ascii="Arial" w:eastAsia="Calibri" w:hAnsi="Arial" w:cs="Arial"/>
          <w:sz w:val="22"/>
          <w:szCs w:val="22"/>
          <w:lang w:val="es-CL" w:eastAsia="es-CL"/>
        </w:rPr>
      </w:pPr>
      <w:r w:rsidRPr="00252C1F">
        <w:rPr>
          <w:rFonts w:ascii="Arial" w:eastAsia="Calibri" w:hAnsi="Arial" w:cs="Arial"/>
          <w:sz w:val="22"/>
          <w:szCs w:val="22"/>
          <w:lang w:val="es-CL" w:eastAsia="es-CL"/>
        </w:rPr>
        <w:t xml:space="preserve">De acuerdo a lo establecido en la citada norma legal, debe tratarse de </w:t>
      </w:r>
      <w:r w:rsidR="00DC1508" w:rsidRPr="00252C1F">
        <w:rPr>
          <w:rFonts w:ascii="Arial" w:eastAsia="Calibri" w:hAnsi="Arial" w:cs="Arial"/>
          <w:sz w:val="22"/>
          <w:szCs w:val="22"/>
          <w:lang w:val="es-CL" w:eastAsia="es-CL"/>
        </w:rPr>
        <w:t xml:space="preserve">inversionistas </w:t>
      </w:r>
      <w:r w:rsidR="00FF75CD">
        <w:rPr>
          <w:rFonts w:ascii="Arial" w:eastAsia="Calibri" w:hAnsi="Arial" w:cs="Arial"/>
          <w:sz w:val="22"/>
          <w:szCs w:val="22"/>
          <w:lang w:val="es-CL" w:eastAsia="es-CL"/>
        </w:rPr>
        <w:t>extranjeros</w:t>
      </w:r>
      <w:r w:rsidR="00851A28">
        <w:rPr>
          <w:rFonts w:ascii="Arial" w:eastAsia="Calibri" w:hAnsi="Arial" w:cs="Arial"/>
          <w:sz w:val="22"/>
          <w:szCs w:val="22"/>
          <w:lang w:val="es-CL" w:eastAsia="es-CL"/>
        </w:rPr>
        <w:t xml:space="preserve"> o</w:t>
      </w:r>
      <w:r w:rsidR="00FF75CD">
        <w:rPr>
          <w:rFonts w:ascii="Arial" w:eastAsia="Calibri" w:hAnsi="Arial" w:cs="Arial"/>
          <w:sz w:val="22"/>
          <w:szCs w:val="22"/>
          <w:lang w:val="es-CL" w:eastAsia="es-CL"/>
        </w:rPr>
        <w:t xml:space="preserve"> empresas receptoras de sus aportes,</w:t>
      </w:r>
      <w:r w:rsidRPr="00252C1F">
        <w:rPr>
          <w:rFonts w:ascii="Arial" w:eastAsia="Calibri" w:hAnsi="Arial" w:cs="Arial"/>
          <w:sz w:val="22"/>
          <w:szCs w:val="22"/>
          <w:lang w:val="es-CL" w:eastAsia="es-CL"/>
        </w:rPr>
        <w:t xml:space="preserve"> que sean </w:t>
      </w:r>
      <w:r w:rsidR="00DC1508" w:rsidRPr="00252C1F">
        <w:rPr>
          <w:rFonts w:ascii="Arial" w:eastAsia="Calibri" w:hAnsi="Arial" w:cs="Arial"/>
          <w:sz w:val="22"/>
          <w:szCs w:val="22"/>
          <w:lang w:val="es-CL" w:eastAsia="es-CL"/>
        </w:rPr>
        <w:t>susceptibles de quedar afectos a lo dispuesto en el artículo 64 bis, de la LIR, y al régimen de invariabilidad del artículo 11 ter del DL 600, de 1974, conforme al texto de ambas disposiciones establecido por la Ley 20.026,</w:t>
      </w:r>
      <w:r w:rsidRPr="00252C1F">
        <w:rPr>
          <w:rFonts w:ascii="Arial" w:eastAsia="Calibri" w:hAnsi="Arial" w:cs="Arial"/>
          <w:sz w:val="22"/>
          <w:szCs w:val="22"/>
          <w:lang w:val="es-CL" w:eastAsia="es-CL"/>
        </w:rPr>
        <w:t xml:space="preserve"> </w:t>
      </w:r>
      <w:r w:rsidR="00DC1508" w:rsidRPr="00252C1F">
        <w:rPr>
          <w:rFonts w:ascii="Arial" w:eastAsia="Calibri" w:hAnsi="Arial" w:cs="Arial"/>
          <w:sz w:val="22"/>
          <w:szCs w:val="22"/>
          <w:lang w:val="es-CL" w:eastAsia="es-CL"/>
        </w:rPr>
        <w:t xml:space="preserve">y </w:t>
      </w:r>
      <w:r w:rsidRPr="00252C1F">
        <w:rPr>
          <w:rFonts w:ascii="Arial" w:eastAsia="Calibri" w:hAnsi="Arial" w:cs="Arial"/>
          <w:sz w:val="22"/>
          <w:szCs w:val="22"/>
          <w:lang w:val="es-CL" w:eastAsia="es-CL"/>
        </w:rPr>
        <w:t>que hubie</w:t>
      </w:r>
      <w:r w:rsidR="00DC1508" w:rsidRPr="00252C1F">
        <w:rPr>
          <w:rFonts w:ascii="Arial" w:eastAsia="Calibri" w:hAnsi="Arial" w:cs="Arial"/>
          <w:sz w:val="22"/>
          <w:szCs w:val="22"/>
          <w:lang w:val="es-CL" w:eastAsia="es-CL"/>
        </w:rPr>
        <w:t>sen</w:t>
      </w:r>
      <w:r w:rsidRPr="00252C1F">
        <w:rPr>
          <w:rFonts w:ascii="Arial" w:eastAsia="Calibri" w:hAnsi="Arial" w:cs="Arial"/>
          <w:sz w:val="22"/>
          <w:szCs w:val="22"/>
          <w:lang w:val="es-CL" w:eastAsia="es-CL"/>
        </w:rPr>
        <w:t xml:space="preserve"> presentado una solicitud de inversión extranjera ante </w:t>
      </w:r>
      <w:smartTag w:uri="urn:schemas-microsoft-com:office:smarttags" w:element="PersonName">
        <w:smartTagPr>
          <w:attr w:name="ProductID" w:val="la Vicepresidencia Ejecutiva"/>
        </w:smartTagPr>
        <w:r w:rsidRPr="00252C1F">
          <w:rPr>
            <w:rFonts w:ascii="Arial" w:eastAsia="Calibri" w:hAnsi="Arial" w:cs="Arial"/>
            <w:sz w:val="22"/>
            <w:szCs w:val="22"/>
            <w:lang w:val="es-CL" w:eastAsia="es-CL"/>
          </w:rPr>
          <w:t>la Vicepresidencia Ejecutiva</w:t>
        </w:r>
      </w:smartTag>
      <w:r w:rsidRPr="00252C1F">
        <w:rPr>
          <w:rFonts w:ascii="Arial" w:eastAsia="Calibri" w:hAnsi="Arial" w:cs="Arial"/>
          <w:sz w:val="22"/>
          <w:szCs w:val="22"/>
          <w:lang w:val="es-CL" w:eastAsia="es-CL"/>
        </w:rPr>
        <w:t xml:space="preserve"> del </w:t>
      </w:r>
      <w:r w:rsidRPr="00851A28">
        <w:rPr>
          <w:rFonts w:ascii="Arial" w:eastAsia="Calibri" w:hAnsi="Arial" w:cs="Arial"/>
          <w:b/>
          <w:sz w:val="22"/>
          <w:szCs w:val="22"/>
          <w:lang w:val="es-CL" w:eastAsia="es-CL"/>
        </w:rPr>
        <w:t>CIE</w:t>
      </w:r>
      <w:r w:rsidR="00FF75CD">
        <w:rPr>
          <w:rFonts w:ascii="Arial" w:eastAsia="Calibri" w:hAnsi="Arial" w:cs="Arial"/>
          <w:sz w:val="22"/>
          <w:szCs w:val="22"/>
          <w:lang w:val="es-CL" w:eastAsia="es-CL"/>
        </w:rPr>
        <w:t>,</w:t>
      </w:r>
      <w:r w:rsidR="00DC1508" w:rsidRPr="00252C1F">
        <w:rPr>
          <w:rFonts w:ascii="Arial" w:eastAsia="Calibri" w:hAnsi="Arial" w:cs="Arial"/>
          <w:sz w:val="22"/>
          <w:szCs w:val="22"/>
          <w:lang w:val="es-CL" w:eastAsia="es-CL"/>
        </w:rPr>
        <w:t xml:space="preserve"> hasta el </w:t>
      </w:r>
      <w:r w:rsidRPr="00252C1F">
        <w:rPr>
          <w:rFonts w:ascii="Arial" w:eastAsia="Calibri" w:hAnsi="Arial" w:cs="Arial"/>
          <w:sz w:val="22"/>
          <w:szCs w:val="22"/>
          <w:lang w:val="es-CL" w:eastAsia="es-CL"/>
        </w:rPr>
        <w:t>3</w:t>
      </w:r>
      <w:r w:rsidR="00DC1508" w:rsidRPr="00252C1F">
        <w:rPr>
          <w:rFonts w:ascii="Arial" w:eastAsia="Calibri" w:hAnsi="Arial" w:cs="Arial"/>
          <w:sz w:val="22"/>
          <w:szCs w:val="22"/>
          <w:lang w:val="es-CL" w:eastAsia="es-CL"/>
        </w:rPr>
        <w:t>0</w:t>
      </w:r>
      <w:r w:rsidRPr="00252C1F">
        <w:rPr>
          <w:rFonts w:ascii="Arial" w:eastAsia="Calibri" w:hAnsi="Arial" w:cs="Arial"/>
          <w:sz w:val="22"/>
          <w:szCs w:val="22"/>
          <w:lang w:val="es-CL" w:eastAsia="es-CL"/>
        </w:rPr>
        <w:t xml:space="preserve"> de agosto de 2010.</w:t>
      </w:r>
    </w:p>
    <w:p w:rsidR="00BD3386" w:rsidRPr="00252C1F" w:rsidRDefault="00BD3386" w:rsidP="001D088B">
      <w:pPr>
        <w:autoSpaceDE w:val="0"/>
        <w:autoSpaceDN w:val="0"/>
        <w:adjustRightInd w:val="0"/>
        <w:ind w:right="-93"/>
        <w:jc w:val="both"/>
        <w:rPr>
          <w:rFonts w:ascii="Arial" w:eastAsia="Calibri" w:hAnsi="Arial" w:cs="Arial"/>
          <w:sz w:val="22"/>
          <w:szCs w:val="22"/>
          <w:lang w:val="es-CL" w:eastAsia="es-CL"/>
        </w:rPr>
      </w:pPr>
    </w:p>
    <w:p w:rsidR="00B0724F" w:rsidRPr="00252C1F" w:rsidRDefault="00BD3386" w:rsidP="001D088B">
      <w:pPr>
        <w:autoSpaceDE w:val="0"/>
        <w:autoSpaceDN w:val="0"/>
        <w:adjustRightInd w:val="0"/>
        <w:ind w:right="-93"/>
        <w:jc w:val="both"/>
        <w:rPr>
          <w:rFonts w:ascii="Arial" w:eastAsia="Calibri" w:hAnsi="Arial" w:cs="Arial"/>
          <w:b/>
          <w:sz w:val="22"/>
          <w:szCs w:val="22"/>
          <w:lang w:val="es-CL" w:eastAsia="es-CL"/>
        </w:rPr>
      </w:pPr>
      <w:r w:rsidRPr="00252C1F">
        <w:rPr>
          <w:rFonts w:ascii="Arial" w:eastAsia="Calibri" w:hAnsi="Arial" w:cs="Arial"/>
          <w:b/>
          <w:sz w:val="22"/>
          <w:szCs w:val="22"/>
          <w:lang w:val="es-CL" w:eastAsia="es-CL"/>
        </w:rPr>
        <w:t>(2.2</w:t>
      </w:r>
      <w:r w:rsidR="004A2631">
        <w:rPr>
          <w:rFonts w:ascii="Arial" w:eastAsia="Calibri" w:hAnsi="Arial" w:cs="Arial"/>
          <w:b/>
          <w:sz w:val="22"/>
          <w:szCs w:val="22"/>
          <w:lang w:val="es-CL" w:eastAsia="es-CL"/>
        </w:rPr>
        <w:t>.</w:t>
      </w:r>
      <w:r w:rsidRPr="00252C1F">
        <w:rPr>
          <w:rFonts w:ascii="Arial" w:eastAsia="Calibri" w:hAnsi="Arial" w:cs="Arial"/>
          <w:b/>
          <w:sz w:val="22"/>
          <w:szCs w:val="22"/>
          <w:lang w:val="es-CL" w:eastAsia="es-CL"/>
        </w:rPr>
        <w:t xml:space="preserve">) </w:t>
      </w:r>
      <w:r w:rsidR="00B0724F" w:rsidRPr="00252C1F">
        <w:rPr>
          <w:rFonts w:ascii="Arial" w:eastAsia="Calibri" w:hAnsi="Arial" w:cs="Arial"/>
          <w:b/>
          <w:sz w:val="22"/>
          <w:szCs w:val="22"/>
          <w:lang w:val="es-CL" w:eastAsia="es-CL"/>
        </w:rPr>
        <w:t>Tasas.</w:t>
      </w:r>
    </w:p>
    <w:p w:rsidR="00B0724F" w:rsidRPr="00252C1F" w:rsidRDefault="00B0724F" w:rsidP="001D088B">
      <w:pPr>
        <w:autoSpaceDE w:val="0"/>
        <w:autoSpaceDN w:val="0"/>
        <w:adjustRightInd w:val="0"/>
        <w:ind w:right="-93"/>
        <w:jc w:val="both"/>
        <w:rPr>
          <w:rFonts w:ascii="Arial" w:eastAsia="Calibri" w:hAnsi="Arial" w:cs="Arial"/>
          <w:sz w:val="22"/>
          <w:szCs w:val="22"/>
          <w:lang w:val="es-CL" w:eastAsia="es-CL"/>
        </w:rPr>
      </w:pPr>
    </w:p>
    <w:p w:rsidR="00B0724F" w:rsidRPr="00252C1F" w:rsidRDefault="0067142E" w:rsidP="001D088B">
      <w:pPr>
        <w:autoSpaceDE w:val="0"/>
        <w:autoSpaceDN w:val="0"/>
        <w:adjustRightInd w:val="0"/>
        <w:ind w:right="-93"/>
        <w:jc w:val="both"/>
        <w:rPr>
          <w:rFonts w:ascii="Arial" w:eastAsia="Calibri" w:hAnsi="Arial" w:cs="Arial"/>
          <w:sz w:val="22"/>
          <w:szCs w:val="22"/>
          <w:lang w:val="es-CL" w:eastAsia="es-CL"/>
        </w:rPr>
      </w:pPr>
      <w:r w:rsidRPr="00252C1F">
        <w:rPr>
          <w:rFonts w:ascii="Arial" w:eastAsia="Calibri" w:hAnsi="Arial" w:cs="Arial"/>
          <w:sz w:val="22"/>
          <w:szCs w:val="22"/>
          <w:lang w:val="es-CL" w:eastAsia="es-CL"/>
        </w:rPr>
        <w:t xml:space="preserve">Conforme </w:t>
      </w:r>
      <w:r w:rsidR="00A833E1" w:rsidRPr="00252C1F">
        <w:rPr>
          <w:rFonts w:ascii="Arial" w:eastAsia="Calibri" w:hAnsi="Arial" w:cs="Arial"/>
          <w:sz w:val="22"/>
          <w:szCs w:val="22"/>
          <w:lang w:val="es-CL" w:eastAsia="es-CL"/>
        </w:rPr>
        <w:t xml:space="preserve">a </w:t>
      </w:r>
      <w:r w:rsidRPr="00252C1F">
        <w:rPr>
          <w:rFonts w:ascii="Arial" w:eastAsia="Calibri" w:hAnsi="Arial" w:cs="Arial"/>
          <w:sz w:val="22"/>
          <w:szCs w:val="22"/>
          <w:lang w:val="es-CL" w:eastAsia="es-CL"/>
        </w:rPr>
        <w:t>lo establece el inciso 1°</w:t>
      </w:r>
      <w:r w:rsidR="00D66148" w:rsidRPr="00252C1F">
        <w:rPr>
          <w:rFonts w:ascii="Arial" w:eastAsia="Calibri" w:hAnsi="Arial" w:cs="Arial"/>
          <w:sz w:val="22"/>
          <w:szCs w:val="22"/>
          <w:lang w:val="es-CL" w:eastAsia="es-CL"/>
        </w:rPr>
        <w:t>,</w:t>
      </w:r>
      <w:r w:rsidRPr="00252C1F">
        <w:rPr>
          <w:rFonts w:ascii="Arial" w:eastAsia="Calibri" w:hAnsi="Arial" w:cs="Arial"/>
          <w:sz w:val="22"/>
          <w:szCs w:val="22"/>
          <w:lang w:val="es-CL" w:eastAsia="es-CL"/>
        </w:rPr>
        <w:t xml:space="preserve"> del artículo 3° </w:t>
      </w:r>
      <w:r w:rsidR="00A833E1" w:rsidRPr="00252C1F">
        <w:rPr>
          <w:rFonts w:ascii="Arial" w:eastAsia="Calibri" w:hAnsi="Arial" w:cs="Arial"/>
          <w:sz w:val="22"/>
          <w:szCs w:val="22"/>
          <w:lang w:val="es-CL" w:eastAsia="es-CL"/>
        </w:rPr>
        <w:t>t</w:t>
      </w:r>
      <w:r w:rsidRPr="00252C1F">
        <w:rPr>
          <w:rFonts w:ascii="Arial" w:eastAsia="Calibri" w:hAnsi="Arial" w:cs="Arial"/>
          <w:sz w:val="22"/>
          <w:szCs w:val="22"/>
          <w:lang w:val="es-CL" w:eastAsia="es-CL"/>
        </w:rPr>
        <w:t>ransitorio</w:t>
      </w:r>
      <w:r w:rsidR="00D66148" w:rsidRPr="00252C1F">
        <w:rPr>
          <w:rFonts w:ascii="Arial" w:eastAsia="Calibri" w:hAnsi="Arial" w:cs="Arial"/>
          <w:sz w:val="22"/>
          <w:szCs w:val="22"/>
          <w:lang w:val="es-CL" w:eastAsia="es-CL"/>
        </w:rPr>
        <w:t>,</w:t>
      </w:r>
      <w:r w:rsidRPr="00252C1F">
        <w:rPr>
          <w:rFonts w:ascii="Arial" w:eastAsia="Calibri" w:hAnsi="Arial" w:cs="Arial"/>
          <w:sz w:val="22"/>
          <w:szCs w:val="22"/>
          <w:lang w:val="es-CL" w:eastAsia="es-CL"/>
        </w:rPr>
        <w:t xml:space="preserve"> de la Ley 20.026, será</w:t>
      </w:r>
      <w:r w:rsidR="00A833E1" w:rsidRPr="00252C1F">
        <w:rPr>
          <w:rFonts w:ascii="Arial" w:eastAsia="Calibri" w:hAnsi="Arial" w:cs="Arial"/>
          <w:sz w:val="22"/>
          <w:szCs w:val="22"/>
          <w:lang w:val="es-CL" w:eastAsia="es-CL"/>
        </w:rPr>
        <w:t>n</w:t>
      </w:r>
      <w:r w:rsidRPr="00252C1F">
        <w:rPr>
          <w:rFonts w:ascii="Arial" w:eastAsia="Calibri" w:hAnsi="Arial" w:cs="Arial"/>
          <w:sz w:val="22"/>
          <w:szCs w:val="22"/>
          <w:lang w:val="es-CL" w:eastAsia="es-CL"/>
        </w:rPr>
        <w:t xml:space="preserve"> aplicable</w:t>
      </w:r>
      <w:r w:rsidR="00A833E1" w:rsidRPr="00252C1F">
        <w:rPr>
          <w:rFonts w:ascii="Arial" w:eastAsia="Calibri" w:hAnsi="Arial" w:cs="Arial"/>
          <w:sz w:val="22"/>
          <w:szCs w:val="22"/>
          <w:lang w:val="es-CL" w:eastAsia="es-CL"/>
        </w:rPr>
        <w:t>s</w:t>
      </w:r>
      <w:r w:rsidRPr="00252C1F">
        <w:rPr>
          <w:rFonts w:ascii="Arial" w:eastAsia="Calibri" w:hAnsi="Arial" w:cs="Arial"/>
          <w:sz w:val="22"/>
          <w:szCs w:val="22"/>
          <w:lang w:val="es-CL" w:eastAsia="es-CL"/>
        </w:rPr>
        <w:t xml:space="preserve"> a estos contribuyentes las tasas contenidas en el en el N°1) del artículo 1° de </w:t>
      </w:r>
      <w:r w:rsidR="00851A28">
        <w:rPr>
          <w:rFonts w:ascii="Arial" w:eastAsia="Calibri" w:hAnsi="Arial" w:cs="Arial"/>
          <w:sz w:val="22"/>
          <w:szCs w:val="22"/>
          <w:lang w:val="es-CL" w:eastAsia="es-CL"/>
        </w:rPr>
        <w:t>esa L</w:t>
      </w:r>
      <w:r w:rsidRPr="00252C1F">
        <w:rPr>
          <w:rFonts w:ascii="Arial" w:eastAsia="Calibri" w:hAnsi="Arial" w:cs="Arial"/>
          <w:sz w:val="22"/>
          <w:szCs w:val="22"/>
          <w:lang w:val="es-CL" w:eastAsia="es-CL"/>
        </w:rPr>
        <w:t xml:space="preserve">ey, vale decir, aquellas tasas a que se refiere el artículo 64 bis de la LIR, según texto fijado por la norma legal antes citada. </w:t>
      </w:r>
      <w:r w:rsidR="009D3FE3">
        <w:rPr>
          <w:rFonts w:ascii="Arial" w:eastAsia="Calibri" w:hAnsi="Arial" w:cs="Arial"/>
          <w:sz w:val="22"/>
          <w:szCs w:val="22"/>
          <w:lang w:val="es-CL" w:eastAsia="es-CL"/>
        </w:rPr>
        <w:t>En este caso, la tasa</w:t>
      </w:r>
      <w:r w:rsidR="00422FEE">
        <w:rPr>
          <w:rFonts w:ascii="Arial" w:eastAsia="Calibri" w:hAnsi="Arial" w:cs="Arial"/>
          <w:sz w:val="22"/>
          <w:szCs w:val="22"/>
          <w:lang w:val="es-CL" w:eastAsia="es-CL"/>
        </w:rPr>
        <w:t xml:space="preserve"> máxima</w:t>
      </w:r>
      <w:r w:rsidR="009D3FE3">
        <w:rPr>
          <w:rFonts w:ascii="Arial" w:eastAsia="Calibri" w:hAnsi="Arial" w:cs="Arial"/>
          <w:sz w:val="22"/>
          <w:szCs w:val="22"/>
          <w:lang w:val="es-CL" w:eastAsia="es-CL"/>
        </w:rPr>
        <w:t xml:space="preserve"> </w:t>
      </w:r>
      <w:r w:rsidR="00A833E1" w:rsidRPr="00252C1F">
        <w:rPr>
          <w:rFonts w:ascii="Arial" w:eastAsia="Calibri" w:hAnsi="Arial" w:cs="Arial"/>
          <w:sz w:val="22"/>
          <w:szCs w:val="22"/>
          <w:lang w:val="es-CL" w:eastAsia="es-CL"/>
        </w:rPr>
        <w:t xml:space="preserve">de </w:t>
      </w:r>
      <w:r w:rsidR="00A833E1" w:rsidRPr="009D3FE3">
        <w:rPr>
          <w:rFonts w:ascii="Arial" w:eastAsia="Calibri" w:hAnsi="Arial" w:cs="Arial"/>
          <w:b/>
          <w:sz w:val="22"/>
          <w:szCs w:val="22"/>
          <w:lang w:val="es-CL" w:eastAsia="es-CL"/>
        </w:rPr>
        <w:t>IEM</w:t>
      </w:r>
      <w:r w:rsidR="00A833E1" w:rsidRPr="00252C1F">
        <w:rPr>
          <w:rFonts w:ascii="Arial" w:eastAsia="Calibri" w:hAnsi="Arial" w:cs="Arial"/>
          <w:sz w:val="22"/>
          <w:szCs w:val="22"/>
          <w:lang w:val="es-CL" w:eastAsia="es-CL"/>
        </w:rPr>
        <w:t xml:space="preserve"> aplicable es de un 5%.</w:t>
      </w:r>
      <w:r w:rsidR="00E9066F" w:rsidRPr="00252C1F">
        <w:rPr>
          <w:rStyle w:val="Refdenotaalpie"/>
          <w:rFonts w:ascii="Arial" w:eastAsia="Calibri" w:hAnsi="Arial" w:cs="Arial"/>
          <w:sz w:val="22"/>
          <w:szCs w:val="22"/>
          <w:lang w:val="es-CL" w:eastAsia="es-CL"/>
        </w:rPr>
        <w:footnoteReference w:id="17"/>
      </w:r>
      <w:r w:rsidR="00E9066F" w:rsidRPr="00252C1F">
        <w:rPr>
          <w:rFonts w:ascii="Arial" w:eastAsia="Calibri" w:hAnsi="Arial" w:cs="Arial"/>
          <w:sz w:val="22"/>
          <w:szCs w:val="22"/>
          <w:lang w:val="es-CL" w:eastAsia="es-CL"/>
        </w:rPr>
        <w:t xml:space="preserve"> </w:t>
      </w:r>
    </w:p>
    <w:p w:rsidR="00F833A1" w:rsidRPr="00252C1F" w:rsidRDefault="00F833A1" w:rsidP="001D088B">
      <w:pPr>
        <w:autoSpaceDE w:val="0"/>
        <w:autoSpaceDN w:val="0"/>
        <w:adjustRightInd w:val="0"/>
        <w:ind w:right="-93"/>
        <w:jc w:val="both"/>
        <w:rPr>
          <w:rFonts w:ascii="Arial" w:eastAsia="Calibri" w:hAnsi="Arial" w:cs="Arial"/>
          <w:sz w:val="22"/>
          <w:szCs w:val="22"/>
          <w:lang w:val="es-CL" w:eastAsia="es-CL"/>
        </w:rPr>
      </w:pPr>
    </w:p>
    <w:p w:rsidR="00F833A1" w:rsidRPr="00252C1F" w:rsidRDefault="00F833A1" w:rsidP="001D088B">
      <w:pPr>
        <w:autoSpaceDE w:val="0"/>
        <w:autoSpaceDN w:val="0"/>
        <w:adjustRightInd w:val="0"/>
        <w:ind w:right="-93"/>
        <w:jc w:val="both"/>
        <w:rPr>
          <w:rFonts w:ascii="Arial" w:eastAsia="Calibri" w:hAnsi="Arial" w:cs="Arial"/>
          <w:b/>
          <w:sz w:val="22"/>
          <w:szCs w:val="22"/>
          <w:lang w:val="es-CL" w:eastAsia="es-CL"/>
        </w:rPr>
      </w:pPr>
      <w:r w:rsidRPr="00252C1F">
        <w:rPr>
          <w:rFonts w:ascii="Arial" w:eastAsia="Calibri" w:hAnsi="Arial" w:cs="Arial"/>
          <w:b/>
          <w:sz w:val="22"/>
          <w:szCs w:val="22"/>
          <w:lang w:val="es-CL" w:eastAsia="es-CL"/>
        </w:rPr>
        <w:t>(</w:t>
      </w:r>
      <w:r w:rsidR="00D5487D">
        <w:rPr>
          <w:rFonts w:ascii="Arial" w:eastAsia="Calibri" w:hAnsi="Arial" w:cs="Arial"/>
          <w:b/>
          <w:sz w:val="22"/>
          <w:szCs w:val="22"/>
          <w:lang w:val="es-CL" w:eastAsia="es-CL"/>
        </w:rPr>
        <w:t>2.3</w:t>
      </w:r>
      <w:r w:rsidR="006C1055">
        <w:rPr>
          <w:rFonts w:ascii="Arial" w:eastAsia="Calibri" w:hAnsi="Arial" w:cs="Arial"/>
          <w:b/>
          <w:sz w:val="22"/>
          <w:szCs w:val="22"/>
          <w:lang w:val="es-CL" w:eastAsia="es-CL"/>
        </w:rPr>
        <w:t>.</w:t>
      </w:r>
      <w:r w:rsidRPr="00252C1F">
        <w:rPr>
          <w:rFonts w:ascii="Arial" w:eastAsia="Calibri" w:hAnsi="Arial" w:cs="Arial"/>
          <w:b/>
          <w:sz w:val="22"/>
          <w:szCs w:val="22"/>
          <w:lang w:val="es-CL" w:eastAsia="es-CL"/>
        </w:rPr>
        <w:t xml:space="preserve">) Régimen de invariabilidad </w:t>
      </w:r>
      <w:r w:rsidR="00A833E1" w:rsidRPr="00252C1F">
        <w:rPr>
          <w:rFonts w:ascii="Arial" w:eastAsia="Calibri" w:hAnsi="Arial" w:cs="Arial"/>
          <w:b/>
          <w:sz w:val="22"/>
          <w:szCs w:val="22"/>
          <w:lang w:val="es-CL" w:eastAsia="es-CL"/>
        </w:rPr>
        <w:t>tributaria</w:t>
      </w:r>
      <w:r w:rsidRPr="00252C1F">
        <w:rPr>
          <w:rFonts w:ascii="Arial" w:eastAsia="Calibri" w:hAnsi="Arial" w:cs="Arial"/>
          <w:b/>
          <w:sz w:val="22"/>
          <w:szCs w:val="22"/>
          <w:lang w:val="es-CL" w:eastAsia="es-CL"/>
        </w:rPr>
        <w:t>.</w:t>
      </w:r>
    </w:p>
    <w:p w:rsidR="00F833A1" w:rsidRPr="00252C1F" w:rsidRDefault="00F833A1" w:rsidP="001D088B">
      <w:pPr>
        <w:autoSpaceDE w:val="0"/>
        <w:autoSpaceDN w:val="0"/>
        <w:adjustRightInd w:val="0"/>
        <w:ind w:right="-93"/>
        <w:jc w:val="both"/>
        <w:rPr>
          <w:rFonts w:ascii="Arial" w:eastAsia="Calibri" w:hAnsi="Arial" w:cs="Arial"/>
          <w:sz w:val="22"/>
          <w:szCs w:val="22"/>
          <w:lang w:val="es-CL" w:eastAsia="es-CL"/>
        </w:rPr>
      </w:pPr>
    </w:p>
    <w:p w:rsidR="00F833A1" w:rsidRPr="00252C1F" w:rsidRDefault="00F833A1" w:rsidP="00F828F2">
      <w:pPr>
        <w:autoSpaceDE w:val="0"/>
        <w:autoSpaceDN w:val="0"/>
        <w:adjustRightInd w:val="0"/>
        <w:ind w:right="-93"/>
        <w:jc w:val="both"/>
        <w:rPr>
          <w:rFonts w:ascii="Arial" w:eastAsia="Calibri" w:hAnsi="Arial" w:cs="Arial"/>
          <w:sz w:val="22"/>
          <w:szCs w:val="22"/>
          <w:lang w:val="es-CL" w:eastAsia="es-CL"/>
        </w:rPr>
      </w:pPr>
      <w:r w:rsidRPr="00252C1F">
        <w:rPr>
          <w:rFonts w:ascii="Arial" w:eastAsia="Calibri" w:hAnsi="Arial" w:cs="Arial"/>
          <w:sz w:val="22"/>
          <w:szCs w:val="22"/>
          <w:lang w:val="es-CL" w:eastAsia="es-CL"/>
        </w:rPr>
        <w:t>A estos contribuyentes les será aplicable el régimen de invariabilidad establecido en el artículo 2°, N°2), de la Ley 20.026</w:t>
      </w:r>
      <w:r w:rsidR="00E10F87" w:rsidRPr="00252C1F">
        <w:rPr>
          <w:rFonts w:ascii="Arial" w:eastAsia="Calibri" w:hAnsi="Arial" w:cs="Arial"/>
          <w:sz w:val="22"/>
          <w:szCs w:val="22"/>
          <w:lang w:val="es-CL" w:eastAsia="es-CL"/>
        </w:rPr>
        <w:t xml:space="preserve">, </w:t>
      </w:r>
      <w:r w:rsidR="004201A3">
        <w:rPr>
          <w:rFonts w:ascii="Arial" w:eastAsia="Calibri" w:hAnsi="Arial" w:cs="Arial"/>
          <w:sz w:val="22"/>
          <w:szCs w:val="22"/>
          <w:lang w:val="es-CL" w:eastAsia="es-CL"/>
        </w:rPr>
        <w:t>es</w:t>
      </w:r>
      <w:r w:rsidR="00E10F87" w:rsidRPr="00252C1F">
        <w:rPr>
          <w:rFonts w:ascii="Arial" w:eastAsia="Calibri" w:hAnsi="Arial" w:cs="Arial"/>
          <w:sz w:val="22"/>
          <w:szCs w:val="22"/>
          <w:lang w:val="es-CL" w:eastAsia="es-CL"/>
        </w:rPr>
        <w:t xml:space="preserve"> decir, por remisión de dicha disposición</w:t>
      </w:r>
      <w:r w:rsidR="00D66148" w:rsidRPr="00252C1F">
        <w:rPr>
          <w:rFonts w:ascii="Arial" w:eastAsia="Calibri" w:hAnsi="Arial" w:cs="Arial"/>
          <w:sz w:val="22"/>
          <w:szCs w:val="22"/>
          <w:lang w:val="es-CL" w:eastAsia="es-CL"/>
        </w:rPr>
        <w:t>,</w:t>
      </w:r>
      <w:r w:rsidR="00E10F87" w:rsidRPr="00252C1F">
        <w:rPr>
          <w:rFonts w:ascii="Arial" w:eastAsia="Calibri" w:hAnsi="Arial" w:cs="Arial"/>
          <w:sz w:val="22"/>
          <w:szCs w:val="22"/>
          <w:lang w:val="es-CL" w:eastAsia="es-CL"/>
        </w:rPr>
        <w:t xml:space="preserve"> se les </w:t>
      </w:r>
      <w:r w:rsidR="00187BB8" w:rsidRPr="00252C1F">
        <w:rPr>
          <w:rFonts w:ascii="Arial" w:eastAsia="Calibri" w:hAnsi="Arial" w:cs="Arial"/>
          <w:sz w:val="22"/>
          <w:szCs w:val="22"/>
          <w:lang w:val="es-CL" w:eastAsia="es-CL"/>
        </w:rPr>
        <w:t>aplica</w:t>
      </w:r>
      <w:r w:rsidR="00E10F87" w:rsidRPr="00252C1F">
        <w:rPr>
          <w:rFonts w:ascii="Arial" w:eastAsia="Calibri" w:hAnsi="Arial" w:cs="Arial"/>
          <w:sz w:val="22"/>
          <w:szCs w:val="22"/>
          <w:lang w:val="es-CL" w:eastAsia="es-CL"/>
        </w:rPr>
        <w:t xml:space="preserve"> el régimen contemplado en el artículo 11 ter de la LIR, por el plazo de 15 </w:t>
      </w:r>
      <w:r w:rsidR="00F64BD6" w:rsidRPr="009D3FE3">
        <w:rPr>
          <w:rFonts w:ascii="Arial" w:eastAsia="Calibri" w:hAnsi="Arial" w:cs="Arial"/>
          <w:b/>
          <w:sz w:val="22"/>
          <w:szCs w:val="22"/>
          <w:lang w:val="es-CL" w:eastAsia="es-CL"/>
        </w:rPr>
        <w:t>AC</w:t>
      </w:r>
      <w:r w:rsidR="00F828F2" w:rsidRPr="00252C1F">
        <w:rPr>
          <w:rFonts w:ascii="Arial" w:eastAsia="Calibri" w:hAnsi="Arial" w:cs="Arial"/>
          <w:sz w:val="22"/>
          <w:szCs w:val="22"/>
          <w:lang w:val="es-CL" w:eastAsia="es-CL"/>
        </w:rPr>
        <w:t xml:space="preserve">, </w:t>
      </w:r>
      <w:r w:rsidR="00F64BD6">
        <w:rPr>
          <w:rFonts w:ascii="Arial" w:eastAsia="Calibri" w:hAnsi="Arial" w:cs="Arial"/>
          <w:sz w:val="22"/>
          <w:szCs w:val="22"/>
          <w:lang w:val="es-CL" w:eastAsia="es-CL"/>
        </w:rPr>
        <w:t xml:space="preserve">contados </w:t>
      </w:r>
      <w:r w:rsidR="00F828F2" w:rsidRPr="00252C1F">
        <w:rPr>
          <w:rFonts w:ascii="Arial" w:eastAsia="Calibri" w:hAnsi="Arial" w:cs="Arial"/>
          <w:sz w:val="22"/>
          <w:szCs w:val="22"/>
          <w:lang w:val="es-CL" w:eastAsia="es-CL"/>
        </w:rPr>
        <w:t>desde aquél en que ocurra la puesta en marcha de la respectiva empresa.</w:t>
      </w:r>
      <w:r w:rsidR="00D87EA8" w:rsidRPr="00252C1F">
        <w:rPr>
          <w:rStyle w:val="Refdenotaalpie"/>
          <w:rFonts w:ascii="Arial" w:eastAsia="Calibri" w:hAnsi="Arial" w:cs="Arial"/>
          <w:sz w:val="22"/>
          <w:szCs w:val="22"/>
          <w:lang w:val="es-CL" w:eastAsia="es-CL"/>
        </w:rPr>
        <w:footnoteReference w:id="18"/>
      </w:r>
    </w:p>
    <w:p w:rsidR="001D088B" w:rsidRPr="00252C1F" w:rsidRDefault="001D088B" w:rsidP="001D088B">
      <w:pPr>
        <w:autoSpaceDE w:val="0"/>
        <w:autoSpaceDN w:val="0"/>
        <w:adjustRightInd w:val="0"/>
        <w:ind w:right="-93"/>
        <w:jc w:val="both"/>
        <w:rPr>
          <w:rFonts w:ascii="Arial" w:eastAsia="Calibri" w:hAnsi="Arial" w:cs="Arial"/>
          <w:sz w:val="22"/>
          <w:szCs w:val="22"/>
          <w:lang w:val="es-CL" w:eastAsia="es-CL"/>
        </w:rPr>
      </w:pPr>
    </w:p>
    <w:p w:rsidR="00315326" w:rsidRDefault="00315326" w:rsidP="00176BE0">
      <w:pPr>
        <w:autoSpaceDE w:val="0"/>
        <w:autoSpaceDN w:val="0"/>
        <w:adjustRightInd w:val="0"/>
        <w:ind w:right="-93"/>
        <w:jc w:val="both"/>
        <w:rPr>
          <w:rFonts w:ascii="Arial" w:eastAsia="Calibri" w:hAnsi="Arial" w:cs="Arial"/>
          <w:b/>
          <w:sz w:val="22"/>
          <w:szCs w:val="22"/>
          <w:lang w:val="es-CL" w:eastAsia="es-CL"/>
        </w:rPr>
      </w:pPr>
    </w:p>
    <w:p w:rsidR="001D088B" w:rsidRPr="008A114F" w:rsidRDefault="006C440D" w:rsidP="00176BE0">
      <w:pPr>
        <w:autoSpaceDE w:val="0"/>
        <w:autoSpaceDN w:val="0"/>
        <w:adjustRightInd w:val="0"/>
        <w:ind w:right="-93"/>
        <w:jc w:val="both"/>
        <w:rPr>
          <w:rFonts w:ascii="Arial" w:eastAsia="Calibri" w:hAnsi="Arial" w:cs="Arial"/>
          <w:b/>
          <w:sz w:val="22"/>
          <w:szCs w:val="22"/>
          <w:lang w:val="es-CL" w:eastAsia="es-CL"/>
        </w:rPr>
      </w:pPr>
      <w:r w:rsidRPr="008A114F">
        <w:rPr>
          <w:rFonts w:ascii="Arial" w:eastAsia="Calibri" w:hAnsi="Arial" w:cs="Arial"/>
          <w:b/>
          <w:sz w:val="22"/>
          <w:szCs w:val="22"/>
          <w:lang w:val="es-CL" w:eastAsia="es-CL"/>
        </w:rPr>
        <w:t xml:space="preserve">(3) Inversionistas extranjeros y empresas receptoras que gocen de los derechos de invariabilidad contemplados en los artículos 7 u 11 bis del </w:t>
      </w:r>
      <w:r w:rsidR="009B4E02" w:rsidRPr="008A114F">
        <w:rPr>
          <w:rFonts w:ascii="Arial" w:eastAsia="Calibri" w:hAnsi="Arial" w:cs="Arial"/>
          <w:b/>
          <w:sz w:val="22"/>
          <w:szCs w:val="22"/>
          <w:lang w:val="es-CL" w:eastAsia="es-CL"/>
        </w:rPr>
        <w:t>DL</w:t>
      </w:r>
      <w:r w:rsidRPr="008A114F">
        <w:rPr>
          <w:rFonts w:ascii="Arial" w:eastAsia="Calibri" w:hAnsi="Arial" w:cs="Arial"/>
          <w:b/>
          <w:sz w:val="22"/>
          <w:szCs w:val="22"/>
          <w:lang w:val="es-CL" w:eastAsia="es-CL"/>
        </w:rPr>
        <w:t xml:space="preserve"> 600, de 1974</w:t>
      </w:r>
      <w:r w:rsidR="00387B56" w:rsidRPr="008A114F">
        <w:rPr>
          <w:rFonts w:ascii="Arial" w:eastAsia="Calibri" w:hAnsi="Arial" w:cs="Arial"/>
          <w:b/>
          <w:sz w:val="22"/>
          <w:szCs w:val="22"/>
          <w:lang w:val="es-CL" w:eastAsia="es-CL"/>
        </w:rPr>
        <w:t xml:space="preserve">, que se acojan a lo dispuesto en los artículos 1° y 2° </w:t>
      </w:r>
      <w:r w:rsidR="009B4E02" w:rsidRPr="008A114F">
        <w:rPr>
          <w:rFonts w:ascii="Arial" w:eastAsia="Calibri" w:hAnsi="Arial" w:cs="Arial"/>
          <w:b/>
          <w:sz w:val="22"/>
          <w:szCs w:val="22"/>
          <w:lang w:val="es-CL" w:eastAsia="es-CL"/>
        </w:rPr>
        <w:t>t</w:t>
      </w:r>
      <w:r w:rsidR="00387B56" w:rsidRPr="008A114F">
        <w:rPr>
          <w:rFonts w:ascii="Arial" w:eastAsia="Calibri" w:hAnsi="Arial" w:cs="Arial"/>
          <w:b/>
          <w:sz w:val="22"/>
          <w:szCs w:val="22"/>
          <w:lang w:val="es-CL" w:eastAsia="es-CL"/>
        </w:rPr>
        <w:t>ransitorio</w:t>
      </w:r>
      <w:r w:rsidR="009B4E02" w:rsidRPr="008A114F">
        <w:rPr>
          <w:rFonts w:ascii="Arial" w:eastAsia="Calibri" w:hAnsi="Arial" w:cs="Arial"/>
          <w:b/>
          <w:sz w:val="22"/>
          <w:szCs w:val="22"/>
          <w:lang w:val="es-CL" w:eastAsia="es-CL"/>
        </w:rPr>
        <w:t>s</w:t>
      </w:r>
      <w:r w:rsidR="00387B56" w:rsidRPr="008A114F">
        <w:rPr>
          <w:rFonts w:ascii="Arial" w:eastAsia="Calibri" w:hAnsi="Arial" w:cs="Arial"/>
          <w:b/>
          <w:sz w:val="22"/>
          <w:szCs w:val="22"/>
          <w:lang w:val="es-CL" w:eastAsia="es-CL"/>
        </w:rPr>
        <w:t xml:space="preserve"> de la Ley 20.469</w:t>
      </w:r>
      <w:r w:rsidR="00014E07" w:rsidRPr="008A114F">
        <w:rPr>
          <w:rFonts w:ascii="Arial" w:eastAsia="Calibri" w:hAnsi="Arial" w:cs="Arial"/>
          <w:b/>
          <w:sz w:val="22"/>
          <w:szCs w:val="22"/>
          <w:lang w:val="es-CL" w:eastAsia="es-CL"/>
        </w:rPr>
        <w:t>.</w:t>
      </w:r>
    </w:p>
    <w:p w:rsidR="006C440D" w:rsidRPr="00252C1F" w:rsidRDefault="006C440D" w:rsidP="00757B87">
      <w:pPr>
        <w:autoSpaceDE w:val="0"/>
        <w:autoSpaceDN w:val="0"/>
        <w:adjustRightInd w:val="0"/>
        <w:ind w:right="-93"/>
        <w:jc w:val="both"/>
        <w:rPr>
          <w:rFonts w:ascii="Arial" w:eastAsia="Calibri" w:hAnsi="Arial" w:cs="Arial"/>
          <w:b/>
          <w:sz w:val="22"/>
          <w:szCs w:val="22"/>
          <w:lang w:val="es-CL" w:eastAsia="es-CL"/>
        </w:rPr>
      </w:pPr>
    </w:p>
    <w:p w:rsidR="004348DA" w:rsidRPr="00252C1F" w:rsidRDefault="00014E07" w:rsidP="004348DA">
      <w:pPr>
        <w:autoSpaceDE w:val="0"/>
        <w:autoSpaceDN w:val="0"/>
        <w:adjustRightInd w:val="0"/>
        <w:ind w:right="-93"/>
        <w:jc w:val="both"/>
        <w:rPr>
          <w:rFonts w:ascii="Arial" w:eastAsia="Calibri" w:hAnsi="Arial" w:cs="Arial"/>
          <w:sz w:val="22"/>
          <w:szCs w:val="22"/>
          <w:lang w:val="es-CL" w:eastAsia="es-CL"/>
        </w:rPr>
      </w:pPr>
      <w:r w:rsidRPr="00252C1F">
        <w:rPr>
          <w:rFonts w:ascii="Arial" w:eastAsia="Calibri" w:hAnsi="Arial" w:cs="Arial"/>
          <w:sz w:val="22"/>
          <w:szCs w:val="22"/>
          <w:lang w:val="es-CL" w:eastAsia="es-CL"/>
        </w:rPr>
        <w:t>Conforme lo dispone e</w:t>
      </w:r>
      <w:r w:rsidR="004348DA" w:rsidRPr="00252C1F">
        <w:rPr>
          <w:rFonts w:ascii="Arial" w:eastAsia="Calibri" w:hAnsi="Arial" w:cs="Arial"/>
          <w:sz w:val="22"/>
          <w:szCs w:val="22"/>
          <w:lang w:val="es-CL" w:eastAsia="es-CL"/>
        </w:rPr>
        <w:t xml:space="preserve">l inciso 2°, del artículo 3° </w:t>
      </w:r>
      <w:r w:rsidR="00343FF8" w:rsidRPr="00252C1F">
        <w:rPr>
          <w:rFonts w:ascii="Arial" w:eastAsia="Calibri" w:hAnsi="Arial" w:cs="Arial"/>
          <w:sz w:val="22"/>
          <w:szCs w:val="22"/>
          <w:lang w:val="es-CL" w:eastAsia="es-CL"/>
        </w:rPr>
        <w:t>t</w:t>
      </w:r>
      <w:r w:rsidR="004348DA" w:rsidRPr="00252C1F">
        <w:rPr>
          <w:rFonts w:ascii="Arial" w:eastAsia="Calibri" w:hAnsi="Arial" w:cs="Arial"/>
          <w:sz w:val="22"/>
          <w:szCs w:val="22"/>
          <w:lang w:val="es-CL" w:eastAsia="es-CL"/>
        </w:rPr>
        <w:t xml:space="preserve">ransitorio, de la Ley 20.469, estos contribuyentes podrán acogerse a lo dispuesto en los artículos 1° y 2° </w:t>
      </w:r>
      <w:r w:rsidR="00343FF8" w:rsidRPr="00252C1F">
        <w:rPr>
          <w:rFonts w:ascii="Arial" w:eastAsia="Calibri" w:hAnsi="Arial" w:cs="Arial"/>
          <w:sz w:val="22"/>
          <w:szCs w:val="22"/>
          <w:lang w:val="es-CL" w:eastAsia="es-CL"/>
        </w:rPr>
        <w:t>t</w:t>
      </w:r>
      <w:r w:rsidR="004348DA" w:rsidRPr="00252C1F">
        <w:rPr>
          <w:rFonts w:ascii="Arial" w:eastAsia="Calibri" w:hAnsi="Arial" w:cs="Arial"/>
          <w:sz w:val="22"/>
          <w:szCs w:val="22"/>
          <w:lang w:val="es-CL" w:eastAsia="es-CL"/>
        </w:rPr>
        <w:t>ransitorio</w:t>
      </w:r>
      <w:r w:rsidR="00815CB7" w:rsidRPr="00252C1F">
        <w:rPr>
          <w:rFonts w:ascii="Arial" w:eastAsia="Calibri" w:hAnsi="Arial" w:cs="Arial"/>
          <w:sz w:val="22"/>
          <w:szCs w:val="22"/>
          <w:lang w:val="es-CL" w:eastAsia="es-CL"/>
        </w:rPr>
        <w:t>s</w:t>
      </w:r>
      <w:r w:rsidR="004348DA" w:rsidRPr="00252C1F">
        <w:rPr>
          <w:rFonts w:ascii="Arial" w:eastAsia="Calibri" w:hAnsi="Arial" w:cs="Arial"/>
          <w:sz w:val="22"/>
          <w:szCs w:val="22"/>
          <w:lang w:val="es-CL" w:eastAsia="es-CL"/>
        </w:rPr>
        <w:t xml:space="preserve"> de la Ley </w:t>
      </w:r>
      <w:r w:rsidR="003C77F2" w:rsidRPr="00252C1F">
        <w:rPr>
          <w:rFonts w:ascii="Arial" w:eastAsia="Calibri" w:hAnsi="Arial" w:cs="Arial"/>
          <w:sz w:val="22"/>
          <w:szCs w:val="22"/>
          <w:lang w:val="es-CL" w:eastAsia="es-CL"/>
        </w:rPr>
        <w:t>20.469.</w:t>
      </w:r>
    </w:p>
    <w:p w:rsidR="004348DA" w:rsidRPr="00252C1F" w:rsidRDefault="004348DA" w:rsidP="004348DA">
      <w:pPr>
        <w:autoSpaceDE w:val="0"/>
        <w:autoSpaceDN w:val="0"/>
        <w:adjustRightInd w:val="0"/>
        <w:ind w:right="-93"/>
        <w:jc w:val="both"/>
        <w:rPr>
          <w:rFonts w:ascii="Arial" w:eastAsia="Calibri" w:hAnsi="Arial" w:cs="Arial"/>
          <w:sz w:val="22"/>
          <w:szCs w:val="22"/>
          <w:lang w:val="es-CL" w:eastAsia="es-CL"/>
        </w:rPr>
      </w:pPr>
    </w:p>
    <w:p w:rsidR="004403DF" w:rsidRDefault="004403DF" w:rsidP="004348DA">
      <w:pPr>
        <w:autoSpaceDE w:val="0"/>
        <w:autoSpaceDN w:val="0"/>
        <w:adjustRightInd w:val="0"/>
        <w:ind w:right="-93"/>
        <w:jc w:val="both"/>
        <w:rPr>
          <w:rFonts w:ascii="Arial" w:eastAsia="Calibri" w:hAnsi="Arial" w:cs="Arial"/>
          <w:b/>
          <w:sz w:val="22"/>
          <w:szCs w:val="22"/>
          <w:lang w:val="es-CL" w:eastAsia="es-CL"/>
        </w:rPr>
      </w:pPr>
    </w:p>
    <w:p w:rsidR="00387B56" w:rsidRPr="00252C1F" w:rsidRDefault="00387B56" w:rsidP="004348DA">
      <w:pPr>
        <w:autoSpaceDE w:val="0"/>
        <w:autoSpaceDN w:val="0"/>
        <w:adjustRightInd w:val="0"/>
        <w:ind w:right="-93"/>
        <w:jc w:val="both"/>
        <w:rPr>
          <w:rFonts w:ascii="Arial" w:eastAsia="Calibri" w:hAnsi="Arial" w:cs="Arial"/>
          <w:sz w:val="22"/>
          <w:szCs w:val="22"/>
          <w:lang w:val="es-CL" w:eastAsia="es-CL"/>
        </w:rPr>
      </w:pPr>
      <w:r w:rsidRPr="0033249D">
        <w:rPr>
          <w:rFonts w:ascii="Arial" w:eastAsia="Calibri" w:hAnsi="Arial" w:cs="Arial"/>
          <w:b/>
          <w:sz w:val="22"/>
          <w:szCs w:val="22"/>
          <w:lang w:val="es-CL" w:eastAsia="es-CL"/>
        </w:rPr>
        <w:t>(</w:t>
      </w:r>
      <w:r w:rsidR="00014E07" w:rsidRPr="0033249D">
        <w:rPr>
          <w:rFonts w:ascii="Arial" w:eastAsia="Calibri" w:hAnsi="Arial" w:cs="Arial"/>
          <w:b/>
          <w:sz w:val="22"/>
          <w:szCs w:val="22"/>
          <w:lang w:val="es-CL" w:eastAsia="es-CL"/>
        </w:rPr>
        <w:t>3.1</w:t>
      </w:r>
      <w:r w:rsidR="00F64BD6" w:rsidRPr="0033249D">
        <w:rPr>
          <w:rFonts w:ascii="Arial" w:eastAsia="Calibri" w:hAnsi="Arial" w:cs="Arial"/>
          <w:b/>
          <w:sz w:val="22"/>
          <w:szCs w:val="22"/>
          <w:lang w:val="es-CL" w:eastAsia="es-CL"/>
        </w:rPr>
        <w:t>.</w:t>
      </w:r>
      <w:r w:rsidRPr="0033249D">
        <w:rPr>
          <w:rFonts w:ascii="Arial" w:eastAsia="Calibri" w:hAnsi="Arial" w:cs="Arial"/>
          <w:b/>
          <w:sz w:val="22"/>
          <w:szCs w:val="22"/>
          <w:lang w:val="es-CL" w:eastAsia="es-CL"/>
        </w:rPr>
        <w:t>)</w:t>
      </w:r>
      <w:r w:rsidRPr="00252C1F">
        <w:rPr>
          <w:rFonts w:ascii="Arial" w:eastAsia="Calibri" w:hAnsi="Arial" w:cs="Arial"/>
          <w:b/>
          <w:sz w:val="22"/>
          <w:szCs w:val="22"/>
          <w:lang w:val="es-CL" w:eastAsia="es-CL"/>
        </w:rPr>
        <w:t xml:space="preserve"> </w:t>
      </w:r>
      <w:r w:rsidR="004348DA" w:rsidRPr="00252C1F">
        <w:rPr>
          <w:rFonts w:ascii="Arial" w:eastAsia="Calibri" w:hAnsi="Arial" w:cs="Arial"/>
          <w:b/>
          <w:sz w:val="22"/>
          <w:szCs w:val="22"/>
          <w:lang w:val="es-CL" w:eastAsia="es-CL"/>
        </w:rPr>
        <w:t xml:space="preserve">Contribuyentes </w:t>
      </w:r>
      <w:r w:rsidR="00EE3B4A" w:rsidRPr="00252C1F">
        <w:rPr>
          <w:rFonts w:ascii="Arial" w:eastAsia="Calibri" w:hAnsi="Arial" w:cs="Arial"/>
          <w:b/>
          <w:sz w:val="22"/>
          <w:szCs w:val="22"/>
          <w:lang w:val="es-CL" w:eastAsia="es-CL"/>
        </w:rPr>
        <w:t xml:space="preserve">que pueden ejercer </w:t>
      </w:r>
      <w:r w:rsidR="004348DA" w:rsidRPr="00252C1F">
        <w:rPr>
          <w:rFonts w:ascii="Arial" w:eastAsia="Calibri" w:hAnsi="Arial" w:cs="Arial"/>
          <w:b/>
          <w:sz w:val="22"/>
          <w:szCs w:val="22"/>
          <w:lang w:val="es-CL" w:eastAsia="es-CL"/>
        </w:rPr>
        <w:t>esta opción.</w:t>
      </w:r>
    </w:p>
    <w:p w:rsidR="00387B56" w:rsidRPr="00252C1F" w:rsidRDefault="00387B56" w:rsidP="00AF47E5">
      <w:pPr>
        <w:autoSpaceDE w:val="0"/>
        <w:autoSpaceDN w:val="0"/>
        <w:adjustRightInd w:val="0"/>
        <w:ind w:right="-93"/>
        <w:jc w:val="both"/>
        <w:rPr>
          <w:rFonts w:ascii="Arial" w:eastAsia="Calibri" w:hAnsi="Arial" w:cs="Arial"/>
          <w:sz w:val="22"/>
          <w:szCs w:val="22"/>
          <w:lang w:val="es-CL" w:eastAsia="es-CL"/>
        </w:rPr>
      </w:pPr>
    </w:p>
    <w:p w:rsidR="004348DA" w:rsidRPr="00252C1F" w:rsidRDefault="004348DA" w:rsidP="006271CE">
      <w:pPr>
        <w:numPr>
          <w:ilvl w:val="0"/>
          <w:numId w:val="34"/>
        </w:numPr>
        <w:tabs>
          <w:tab w:val="left" w:pos="284"/>
        </w:tabs>
        <w:autoSpaceDE w:val="0"/>
        <w:autoSpaceDN w:val="0"/>
        <w:adjustRightInd w:val="0"/>
        <w:ind w:left="0" w:right="-93" w:firstLine="0"/>
        <w:jc w:val="both"/>
        <w:rPr>
          <w:rFonts w:ascii="Arial" w:eastAsia="Calibri" w:hAnsi="Arial" w:cs="Arial"/>
          <w:b/>
          <w:sz w:val="22"/>
          <w:szCs w:val="22"/>
          <w:lang w:val="es-CL" w:eastAsia="es-CL"/>
        </w:rPr>
      </w:pPr>
      <w:r w:rsidRPr="00252C1F">
        <w:rPr>
          <w:rFonts w:ascii="Arial" w:eastAsia="Calibri" w:hAnsi="Arial" w:cs="Arial"/>
          <w:b/>
          <w:sz w:val="22"/>
          <w:szCs w:val="22"/>
          <w:lang w:val="es-CL" w:eastAsia="es-CL"/>
        </w:rPr>
        <w:t xml:space="preserve">Inversionistas extranjeros y empresas receptoras que gocen de los derechos de invariabilidad contemplados en </w:t>
      </w:r>
      <w:r w:rsidR="003C77F2" w:rsidRPr="00252C1F">
        <w:rPr>
          <w:rFonts w:ascii="Arial" w:eastAsia="Calibri" w:hAnsi="Arial" w:cs="Arial"/>
          <w:b/>
          <w:sz w:val="22"/>
          <w:szCs w:val="22"/>
          <w:lang w:val="es-CL" w:eastAsia="es-CL"/>
        </w:rPr>
        <w:t>e</w:t>
      </w:r>
      <w:r w:rsidRPr="00252C1F">
        <w:rPr>
          <w:rFonts w:ascii="Arial" w:eastAsia="Calibri" w:hAnsi="Arial" w:cs="Arial"/>
          <w:b/>
          <w:sz w:val="22"/>
          <w:szCs w:val="22"/>
          <w:lang w:val="es-CL" w:eastAsia="es-CL"/>
        </w:rPr>
        <w:t>l artículo 7</w:t>
      </w:r>
      <w:r w:rsidR="00941DCB" w:rsidRPr="00252C1F">
        <w:rPr>
          <w:rFonts w:ascii="Arial" w:eastAsia="Calibri" w:hAnsi="Arial" w:cs="Arial"/>
          <w:b/>
          <w:sz w:val="22"/>
          <w:szCs w:val="22"/>
          <w:lang w:val="es-CL" w:eastAsia="es-CL"/>
        </w:rPr>
        <w:t>,</w:t>
      </w:r>
      <w:r w:rsidR="00DD69E2" w:rsidRPr="00252C1F">
        <w:rPr>
          <w:rFonts w:ascii="Arial" w:eastAsia="Calibri" w:hAnsi="Arial" w:cs="Arial"/>
          <w:b/>
          <w:sz w:val="22"/>
          <w:szCs w:val="22"/>
          <w:lang w:val="es-CL" w:eastAsia="es-CL"/>
        </w:rPr>
        <w:t xml:space="preserve"> del </w:t>
      </w:r>
      <w:r w:rsidR="00941DCB" w:rsidRPr="00252C1F">
        <w:rPr>
          <w:rFonts w:ascii="Arial" w:eastAsia="Calibri" w:hAnsi="Arial" w:cs="Arial"/>
          <w:b/>
          <w:sz w:val="22"/>
          <w:szCs w:val="22"/>
          <w:lang w:val="es-CL" w:eastAsia="es-CL"/>
        </w:rPr>
        <w:t>DL</w:t>
      </w:r>
      <w:r w:rsidR="00DD69E2" w:rsidRPr="00252C1F">
        <w:rPr>
          <w:rFonts w:ascii="Arial" w:eastAsia="Calibri" w:hAnsi="Arial" w:cs="Arial"/>
          <w:b/>
          <w:sz w:val="22"/>
          <w:szCs w:val="22"/>
          <w:lang w:val="es-CL" w:eastAsia="es-CL"/>
        </w:rPr>
        <w:t xml:space="preserve"> 600</w:t>
      </w:r>
      <w:r w:rsidR="00EE3B4A" w:rsidRPr="00252C1F">
        <w:rPr>
          <w:rFonts w:ascii="Arial" w:eastAsia="Calibri" w:hAnsi="Arial" w:cs="Arial"/>
          <w:b/>
          <w:sz w:val="22"/>
          <w:szCs w:val="22"/>
          <w:lang w:val="es-CL" w:eastAsia="es-CL"/>
        </w:rPr>
        <w:t>, de 1974</w:t>
      </w:r>
      <w:r w:rsidRPr="00252C1F">
        <w:rPr>
          <w:rFonts w:ascii="Arial" w:eastAsia="Calibri" w:hAnsi="Arial" w:cs="Arial"/>
          <w:b/>
          <w:sz w:val="22"/>
          <w:szCs w:val="22"/>
          <w:lang w:val="es-CL" w:eastAsia="es-CL"/>
        </w:rPr>
        <w:t>.</w:t>
      </w:r>
    </w:p>
    <w:p w:rsidR="004348DA" w:rsidRPr="00252C1F" w:rsidRDefault="004348DA" w:rsidP="006271CE">
      <w:pPr>
        <w:tabs>
          <w:tab w:val="left" w:pos="284"/>
        </w:tabs>
        <w:autoSpaceDE w:val="0"/>
        <w:autoSpaceDN w:val="0"/>
        <w:adjustRightInd w:val="0"/>
        <w:ind w:right="-93"/>
        <w:jc w:val="both"/>
        <w:rPr>
          <w:rFonts w:ascii="Arial" w:eastAsia="Calibri" w:hAnsi="Arial" w:cs="Arial"/>
          <w:sz w:val="22"/>
          <w:szCs w:val="22"/>
          <w:lang w:val="es-CL" w:eastAsia="es-CL"/>
        </w:rPr>
      </w:pPr>
    </w:p>
    <w:p w:rsidR="004117E6" w:rsidRPr="00252C1F" w:rsidRDefault="00050355" w:rsidP="006271CE">
      <w:pPr>
        <w:tabs>
          <w:tab w:val="left" w:pos="284"/>
        </w:tabs>
        <w:autoSpaceDE w:val="0"/>
        <w:autoSpaceDN w:val="0"/>
        <w:adjustRightInd w:val="0"/>
        <w:ind w:right="-142"/>
        <w:jc w:val="both"/>
        <w:rPr>
          <w:rFonts w:ascii="Arial" w:hAnsi="Arial" w:cs="Arial"/>
          <w:sz w:val="22"/>
          <w:szCs w:val="22"/>
          <w:lang w:val="es-CL" w:eastAsia="es-CL"/>
        </w:rPr>
      </w:pPr>
      <w:r w:rsidRPr="00252C1F">
        <w:rPr>
          <w:rFonts w:ascii="Arial" w:eastAsia="Calibri" w:hAnsi="Arial" w:cs="Arial"/>
          <w:sz w:val="22"/>
          <w:szCs w:val="22"/>
          <w:lang w:val="es-CL" w:eastAsia="es-CL"/>
        </w:rPr>
        <w:t>El artículo 7</w:t>
      </w:r>
      <w:r w:rsidR="00D20858" w:rsidRPr="00252C1F">
        <w:rPr>
          <w:rFonts w:ascii="Arial" w:eastAsia="Calibri" w:hAnsi="Arial" w:cs="Arial"/>
          <w:sz w:val="22"/>
          <w:szCs w:val="22"/>
          <w:lang w:val="es-CL" w:eastAsia="es-CL"/>
        </w:rPr>
        <w:t>, del DL 600,</w:t>
      </w:r>
      <w:r w:rsidR="00EE3B4A" w:rsidRPr="00252C1F">
        <w:rPr>
          <w:rFonts w:ascii="Arial" w:eastAsia="Calibri" w:hAnsi="Arial" w:cs="Arial"/>
          <w:sz w:val="22"/>
          <w:szCs w:val="22"/>
          <w:lang w:val="es-CL" w:eastAsia="es-CL"/>
        </w:rPr>
        <w:t xml:space="preserve"> de 1974,</w:t>
      </w:r>
      <w:r w:rsidRPr="00252C1F">
        <w:rPr>
          <w:rFonts w:ascii="Arial" w:eastAsia="Calibri" w:hAnsi="Arial" w:cs="Arial"/>
          <w:sz w:val="22"/>
          <w:szCs w:val="22"/>
          <w:lang w:val="es-CL" w:eastAsia="es-CL"/>
        </w:rPr>
        <w:t xml:space="preserve"> dispone que</w:t>
      </w:r>
      <w:r w:rsidR="00B64A06" w:rsidRPr="00252C1F">
        <w:rPr>
          <w:rFonts w:ascii="Arial" w:eastAsia="Calibri" w:hAnsi="Arial" w:cs="Arial"/>
          <w:sz w:val="22"/>
          <w:szCs w:val="22"/>
          <w:lang w:val="es-CL" w:eastAsia="es-CL"/>
        </w:rPr>
        <w:t xml:space="preserve"> </w:t>
      </w:r>
      <w:r w:rsidRPr="00252C1F">
        <w:rPr>
          <w:rFonts w:ascii="Arial" w:eastAsia="Calibri" w:hAnsi="Arial" w:cs="Arial"/>
          <w:sz w:val="22"/>
          <w:szCs w:val="22"/>
          <w:lang w:val="es-CL" w:eastAsia="es-CL"/>
        </w:rPr>
        <w:t xml:space="preserve">los titulares de inversiones </w:t>
      </w:r>
      <w:r w:rsidR="00707694" w:rsidRPr="00252C1F">
        <w:rPr>
          <w:rFonts w:ascii="Arial" w:eastAsia="Calibri" w:hAnsi="Arial" w:cs="Arial"/>
          <w:sz w:val="22"/>
          <w:szCs w:val="22"/>
          <w:lang w:val="es-CL" w:eastAsia="es-CL"/>
        </w:rPr>
        <w:t>extra</w:t>
      </w:r>
      <w:r w:rsidR="00D65E89">
        <w:rPr>
          <w:rFonts w:ascii="Arial" w:eastAsia="Calibri" w:hAnsi="Arial" w:cs="Arial"/>
          <w:sz w:val="22"/>
          <w:szCs w:val="22"/>
          <w:lang w:val="es-CL" w:eastAsia="es-CL"/>
        </w:rPr>
        <w:t>n</w:t>
      </w:r>
      <w:r w:rsidR="00707694" w:rsidRPr="00252C1F">
        <w:rPr>
          <w:rFonts w:ascii="Arial" w:eastAsia="Calibri" w:hAnsi="Arial" w:cs="Arial"/>
          <w:sz w:val="22"/>
          <w:szCs w:val="22"/>
          <w:lang w:val="es-CL" w:eastAsia="es-CL"/>
        </w:rPr>
        <w:t>jeras acogido</w:t>
      </w:r>
      <w:r w:rsidRPr="00252C1F">
        <w:rPr>
          <w:rFonts w:ascii="Arial" w:eastAsia="Calibri" w:hAnsi="Arial" w:cs="Arial"/>
          <w:sz w:val="22"/>
          <w:szCs w:val="22"/>
          <w:lang w:val="es-CL" w:eastAsia="es-CL"/>
        </w:rPr>
        <w:t>s a</w:t>
      </w:r>
      <w:r w:rsidR="00707694" w:rsidRPr="00252C1F">
        <w:rPr>
          <w:rFonts w:ascii="Arial" w:eastAsia="Calibri" w:hAnsi="Arial" w:cs="Arial"/>
          <w:sz w:val="22"/>
          <w:szCs w:val="22"/>
          <w:lang w:val="es-CL" w:eastAsia="es-CL"/>
        </w:rPr>
        <w:t xml:space="preserve"> este texto legal,</w:t>
      </w:r>
      <w:r w:rsidRPr="00252C1F">
        <w:rPr>
          <w:rFonts w:ascii="Arial" w:eastAsia="Calibri" w:hAnsi="Arial" w:cs="Arial"/>
          <w:sz w:val="22"/>
          <w:szCs w:val="22"/>
          <w:lang w:val="es-CL" w:eastAsia="es-CL"/>
        </w:rPr>
        <w:t xml:space="preserve"> tendrán derecho a que en sus respectivos contratos</w:t>
      </w:r>
      <w:r w:rsidR="00EE3B4A" w:rsidRPr="00252C1F">
        <w:rPr>
          <w:rFonts w:ascii="Arial" w:eastAsia="Calibri" w:hAnsi="Arial" w:cs="Arial"/>
          <w:sz w:val="22"/>
          <w:szCs w:val="22"/>
          <w:lang w:val="es-CL" w:eastAsia="es-CL"/>
        </w:rPr>
        <w:t xml:space="preserve"> de inversión extranjera</w:t>
      </w:r>
      <w:r w:rsidRPr="00252C1F">
        <w:rPr>
          <w:rFonts w:ascii="Arial" w:eastAsia="Calibri" w:hAnsi="Arial" w:cs="Arial"/>
          <w:sz w:val="22"/>
          <w:szCs w:val="22"/>
          <w:lang w:val="es-CL" w:eastAsia="es-CL"/>
        </w:rPr>
        <w:t xml:space="preserve"> se establezca que se les mantendrá invariable una tasa del 42% como carga impositiva efectiva total a la renta.</w:t>
      </w:r>
      <w:r w:rsidR="00DA039A" w:rsidRPr="00252C1F">
        <w:rPr>
          <w:rFonts w:ascii="Arial" w:eastAsia="Calibri" w:hAnsi="Arial" w:cs="Arial"/>
          <w:sz w:val="22"/>
          <w:szCs w:val="22"/>
          <w:lang w:val="es-CL" w:eastAsia="es-CL"/>
        </w:rPr>
        <w:t xml:space="preserve"> El plazo de invariabilidad </w:t>
      </w:r>
      <w:r w:rsidR="00EE3B4A" w:rsidRPr="00252C1F">
        <w:rPr>
          <w:rFonts w:ascii="Arial" w:eastAsia="Calibri" w:hAnsi="Arial" w:cs="Arial"/>
          <w:sz w:val="22"/>
          <w:szCs w:val="22"/>
          <w:lang w:val="es-CL" w:eastAsia="es-CL"/>
        </w:rPr>
        <w:t xml:space="preserve">en este caso, </w:t>
      </w:r>
      <w:r w:rsidR="00DA039A" w:rsidRPr="00252C1F">
        <w:rPr>
          <w:rFonts w:ascii="Arial" w:eastAsia="Calibri" w:hAnsi="Arial" w:cs="Arial"/>
          <w:sz w:val="22"/>
          <w:szCs w:val="22"/>
          <w:lang w:val="es-CL" w:eastAsia="es-CL"/>
        </w:rPr>
        <w:t xml:space="preserve">es de </w:t>
      </w:r>
      <w:r w:rsidR="00DA039A" w:rsidRPr="00252C1F">
        <w:rPr>
          <w:rFonts w:ascii="Arial" w:eastAsia="Calibri" w:hAnsi="Arial" w:cs="Arial"/>
          <w:b/>
          <w:sz w:val="22"/>
          <w:szCs w:val="22"/>
          <w:lang w:val="es-CL" w:eastAsia="es-CL"/>
        </w:rPr>
        <w:t>10 años</w:t>
      </w:r>
      <w:r w:rsidR="00DA039A" w:rsidRPr="00252C1F">
        <w:rPr>
          <w:rFonts w:ascii="Arial" w:eastAsia="Calibri" w:hAnsi="Arial" w:cs="Arial"/>
          <w:sz w:val="22"/>
          <w:szCs w:val="22"/>
          <w:lang w:val="es-CL" w:eastAsia="es-CL"/>
        </w:rPr>
        <w:t>, contado desde la puesta en marcha de la respectiva empresa</w:t>
      </w:r>
      <w:r w:rsidR="00EE3B4A" w:rsidRPr="00252C1F">
        <w:rPr>
          <w:rFonts w:ascii="Arial" w:eastAsia="Calibri" w:hAnsi="Arial" w:cs="Arial"/>
          <w:sz w:val="22"/>
          <w:szCs w:val="22"/>
          <w:lang w:val="es-CL" w:eastAsia="es-CL"/>
        </w:rPr>
        <w:t>.</w:t>
      </w:r>
      <w:r w:rsidR="004117E6" w:rsidRPr="00252C1F">
        <w:rPr>
          <w:rFonts w:ascii="Arial" w:hAnsi="Arial" w:cs="Arial"/>
          <w:sz w:val="22"/>
          <w:szCs w:val="22"/>
          <w:lang w:val="es-CL" w:eastAsia="es-CL"/>
        </w:rPr>
        <w:t xml:space="preserve"> En el </w:t>
      </w:r>
      <w:r w:rsidR="002C77D9">
        <w:rPr>
          <w:rFonts w:ascii="Arial" w:hAnsi="Arial" w:cs="Arial"/>
          <w:b/>
          <w:sz w:val="22"/>
          <w:szCs w:val="22"/>
          <w:lang w:val="es-CL" w:eastAsia="es-CL"/>
        </w:rPr>
        <w:t>A</w:t>
      </w:r>
      <w:r w:rsidR="004117E6" w:rsidRPr="002C77D9">
        <w:rPr>
          <w:rFonts w:ascii="Arial" w:hAnsi="Arial" w:cs="Arial"/>
          <w:b/>
          <w:sz w:val="22"/>
          <w:szCs w:val="22"/>
          <w:lang w:val="es-CL" w:eastAsia="es-CL"/>
        </w:rPr>
        <w:t>nexo N°</w:t>
      </w:r>
      <w:r w:rsidR="002C77D9">
        <w:rPr>
          <w:rFonts w:ascii="Arial" w:hAnsi="Arial" w:cs="Arial"/>
          <w:b/>
          <w:sz w:val="22"/>
          <w:szCs w:val="22"/>
          <w:lang w:val="es-CL" w:eastAsia="es-CL"/>
        </w:rPr>
        <w:t>9</w:t>
      </w:r>
      <w:r w:rsidR="004117E6" w:rsidRPr="00252C1F">
        <w:rPr>
          <w:rFonts w:ascii="Arial" w:hAnsi="Arial" w:cs="Arial"/>
          <w:sz w:val="22"/>
          <w:szCs w:val="22"/>
          <w:lang w:val="es-CL" w:eastAsia="es-CL"/>
        </w:rPr>
        <w:t xml:space="preserve"> se incluye un cuadro explicativo de los distintos regímenes de invariabilidad establecidos por el DL 600, de 1974, en relación con las leyes 20.026, 20.097 y 20.469.  </w:t>
      </w:r>
    </w:p>
    <w:p w:rsidR="00050355" w:rsidRPr="00252C1F" w:rsidRDefault="00050355" w:rsidP="006271CE">
      <w:pPr>
        <w:tabs>
          <w:tab w:val="left" w:pos="284"/>
        </w:tabs>
        <w:autoSpaceDE w:val="0"/>
        <w:autoSpaceDN w:val="0"/>
        <w:adjustRightInd w:val="0"/>
        <w:ind w:right="-93"/>
        <w:jc w:val="both"/>
        <w:rPr>
          <w:rFonts w:ascii="Arial" w:eastAsia="Calibri" w:hAnsi="Arial" w:cs="Arial"/>
          <w:sz w:val="22"/>
          <w:szCs w:val="22"/>
          <w:lang w:val="es-CL" w:eastAsia="es-CL"/>
        </w:rPr>
      </w:pPr>
    </w:p>
    <w:p w:rsidR="004348DA" w:rsidRPr="00252C1F" w:rsidRDefault="004348DA" w:rsidP="006271CE">
      <w:pPr>
        <w:numPr>
          <w:ilvl w:val="0"/>
          <w:numId w:val="34"/>
        </w:numPr>
        <w:tabs>
          <w:tab w:val="left" w:pos="284"/>
        </w:tabs>
        <w:autoSpaceDE w:val="0"/>
        <w:autoSpaceDN w:val="0"/>
        <w:adjustRightInd w:val="0"/>
        <w:ind w:left="0" w:right="-93" w:firstLine="0"/>
        <w:jc w:val="both"/>
        <w:rPr>
          <w:rFonts w:ascii="Arial" w:eastAsia="Calibri" w:hAnsi="Arial" w:cs="Arial"/>
          <w:b/>
          <w:sz w:val="22"/>
          <w:szCs w:val="22"/>
          <w:lang w:val="es-CL" w:eastAsia="es-CL"/>
        </w:rPr>
      </w:pPr>
      <w:r w:rsidRPr="00252C1F">
        <w:rPr>
          <w:rFonts w:ascii="Arial" w:eastAsia="Calibri" w:hAnsi="Arial" w:cs="Arial"/>
          <w:b/>
          <w:sz w:val="22"/>
          <w:szCs w:val="22"/>
          <w:lang w:val="es-CL" w:eastAsia="es-CL"/>
        </w:rPr>
        <w:t xml:space="preserve">Inversionistas extranjeros y empresas receptoras que gocen de los derechos de invariabilidad contemplados en </w:t>
      </w:r>
      <w:r w:rsidR="00E219F4">
        <w:rPr>
          <w:rFonts w:ascii="Arial" w:eastAsia="Calibri" w:hAnsi="Arial" w:cs="Arial"/>
          <w:b/>
          <w:sz w:val="22"/>
          <w:szCs w:val="22"/>
          <w:lang w:val="es-CL" w:eastAsia="es-CL"/>
        </w:rPr>
        <w:t>el</w:t>
      </w:r>
      <w:r w:rsidRPr="00252C1F">
        <w:rPr>
          <w:rFonts w:ascii="Arial" w:eastAsia="Calibri" w:hAnsi="Arial" w:cs="Arial"/>
          <w:b/>
          <w:sz w:val="22"/>
          <w:szCs w:val="22"/>
          <w:lang w:val="es-CL" w:eastAsia="es-CL"/>
        </w:rPr>
        <w:t xml:space="preserve"> artículo 11 bis del DL 600</w:t>
      </w:r>
      <w:r w:rsidR="004117E6" w:rsidRPr="00252C1F">
        <w:rPr>
          <w:rFonts w:ascii="Arial" w:eastAsia="Calibri" w:hAnsi="Arial" w:cs="Arial"/>
          <w:b/>
          <w:sz w:val="22"/>
          <w:szCs w:val="22"/>
          <w:lang w:val="es-CL" w:eastAsia="es-CL"/>
        </w:rPr>
        <w:t>, de 1974</w:t>
      </w:r>
      <w:r w:rsidRPr="00252C1F">
        <w:rPr>
          <w:rFonts w:ascii="Arial" w:eastAsia="Calibri" w:hAnsi="Arial" w:cs="Arial"/>
          <w:b/>
          <w:sz w:val="22"/>
          <w:szCs w:val="22"/>
          <w:lang w:val="es-CL" w:eastAsia="es-CL"/>
        </w:rPr>
        <w:t>.</w:t>
      </w:r>
    </w:p>
    <w:p w:rsidR="004348DA" w:rsidRPr="00252C1F" w:rsidRDefault="004348DA" w:rsidP="006271CE">
      <w:pPr>
        <w:tabs>
          <w:tab w:val="left" w:pos="284"/>
        </w:tabs>
        <w:autoSpaceDE w:val="0"/>
        <w:autoSpaceDN w:val="0"/>
        <w:adjustRightInd w:val="0"/>
        <w:ind w:right="-93"/>
        <w:jc w:val="both"/>
        <w:rPr>
          <w:rFonts w:ascii="Arial" w:eastAsia="Calibri" w:hAnsi="Arial" w:cs="Arial"/>
          <w:sz w:val="22"/>
          <w:szCs w:val="22"/>
          <w:lang w:val="es-CL" w:eastAsia="es-CL"/>
        </w:rPr>
      </w:pPr>
    </w:p>
    <w:p w:rsidR="00050355" w:rsidRPr="00252C1F" w:rsidRDefault="00497538" w:rsidP="006271CE">
      <w:pPr>
        <w:tabs>
          <w:tab w:val="left" w:pos="284"/>
        </w:tabs>
        <w:autoSpaceDE w:val="0"/>
        <w:autoSpaceDN w:val="0"/>
        <w:adjustRightInd w:val="0"/>
        <w:ind w:right="-93"/>
        <w:jc w:val="both"/>
        <w:rPr>
          <w:rFonts w:ascii="Arial" w:eastAsia="Calibri" w:hAnsi="Arial" w:cs="Arial"/>
          <w:sz w:val="22"/>
          <w:szCs w:val="22"/>
          <w:lang w:val="es-CL" w:eastAsia="es-CL"/>
        </w:rPr>
      </w:pPr>
      <w:r w:rsidRPr="00252C1F">
        <w:rPr>
          <w:rFonts w:ascii="Arial" w:eastAsia="Calibri" w:hAnsi="Arial" w:cs="Arial"/>
          <w:sz w:val="22"/>
          <w:szCs w:val="22"/>
          <w:lang w:val="es-CL" w:eastAsia="es-CL"/>
        </w:rPr>
        <w:t>E</w:t>
      </w:r>
      <w:r w:rsidR="00884791" w:rsidRPr="00252C1F">
        <w:rPr>
          <w:rFonts w:ascii="Arial" w:eastAsia="Calibri" w:hAnsi="Arial" w:cs="Arial"/>
          <w:sz w:val="22"/>
          <w:szCs w:val="22"/>
          <w:lang w:val="es-CL" w:eastAsia="es-CL"/>
        </w:rPr>
        <w:t>l</w:t>
      </w:r>
      <w:r w:rsidR="004117E6" w:rsidRPr="00252C1F">
        <w:rPr>
          <w:rFonts w:ascii="Arial" w:eastAsia="Calibri" w:hAnsi="Arial" w:cs="Arial"/>
          <w:sz w:val="22"/>
          <w:szCs w:val="22"/>
          <w:lang w:val="es-CL" w:eastAsia="es-CL"/>
        </w:rPr>
        <w:t xml:space="preserve"> citado</w:t>
      </w:r>
      <w:r w:rsidR="00884791" w:rsidRPr="00252C1F">
        <w:rPr>
          <w:rFonts w:ascii="Arial" w:eastAsia="Calibri" w:hAnsi="Arial" w:cs="Arial"/>
          <w:sz w:val="22"/>
          <w:szCs w:val="22"/>
          <w:lang w:val="es-CL" w:eastAsia="es-CL"/>
        </w:rPr>
        <w:t xml:space="preserve"> a</w:t>
      </w:r>
      <w:r w:rsidR="004869AB" w:rsidRPr="00252C1F">
        <w:rPr>
          <w:rFonts w:ascii="Arial" w:eastAsia="Calibri" w:hAnsi="Arial" w:cs="Arial"/>
          <w:sz w:val="22"/>
          <w:szCs w:val="22"/>
          <w:lang w:val="es-CL" w:eastAsia="es-CL"/>
        </w:rPr>
        <w:t>rtículo 11 bis</w:t>
      </w:r>
      <w:r w:rsidR="00063A87" w:rsidRPr="00252C1F">
        <w:rPr>
          <w:rFonts w:ascii="Arial" w:eastAsia="Calibri" w:hAnsi="Arial" w:cs="Arial"/>
          <w:sz w:val="22"/>
          <w:szCs w:val="22"/>
          <w:lang w:val="es-CL" w:eastAsia="es-CL"/>
        </w:rPr>
        <w:t>,</w:t>
      </w:r>
      <w:r w:rsidR="00884791" w:rsidRPr="00252C1F">
        <w:rPr>
          <w:rFonts w:ascii="Arial" w:eastAsia="Calibri" w:hAnsi="Arial" w:cs="Arial"/>
          <w:sz w:val="22"/>
          <w:szCs w:val="22"/>
          <w:lang w:val="es-CL" w:eastAsia="es-CL"/>
        </w:rPr>
        <w:t xml:space="preserve"> establece que c</w:t>
      </w:r>
      <w:r w:rsidR="004869AB" w:rsidRPr="00252C1F">
        <w:rPr>
          <w:rFonts w:ascii="Arial" w:eastAsia="Calibri" w:hAnsi="Arial" w:cs="Arial"/>
          <w:sz w:val="22"/>
          <w:szCs w:val="22"/>
          <w:lang w:val="es-CL" w:eastAsia="es-CL"/>
        </w:rPr>
        <w:t>uando se trate de inversiones de</w:t>
      </w:r>
      <w:r w:rsidR="00884791" w:rsidRPr="00252C1F">
        <w:rPr>
          <w:rFonts w:ascii="Arial" w:eastAsia="Calibri" w:hAnsi="Arial" w:cs="Arial"/>
          <w:sz w:val="22"/>
          <w:szCs w:val="22"/>
          <w:lang w:val="es-CL" w:eastAsia="es-CL"/>
        </w:rPr>
        <w:t xml:space="preserve"> </w:t>
      </w:r>
      <w:r w:rsidR="004869AB" w:rsidRPr="00252C1F">
        <w:rPr>
          <w:rFonts w:ascii="Arial" w:eastAsia="Calibri" w:hAnsi="Arial" w:cs="Arial"/>
          <w:sz w:val="22"/>
          <w:szCs w:val="22"/>
          <w:lang w:val="es-CL" w:eastAsia="es-CL"/>
        </w:rPr>
        <w:t>monto igual o superior a US$ 50.000.000</w:t>
      </w:r>
      <w:r w:rsidR="00F64BD6">
        <w:rPr>
          <w:rFonts w:ascii="Arial" w:eastAsia="Calibri" w:hAnsi="Arial" w:cs="Arial"/>
          <w:sz w:val="22"/>
          <w:szCs w:val="22"/>
          <w:lang w:val="es-CL" w:eastAsia="es-CL"/>
        </w:rPr>
        <w:t xml:space="preserve"> (</w:t>
      </w:r>
      <w:r w:rsidR="004869AB" w:rsidRPr="00252C1F">
        <w:rPr>
          <w:rFonts w:ascii="Arial" w:eastAsia="Calibri" w:hAnsi="Arial" w:cs="Arial"/>
          <w:sz w:val="22"/>
          <w:szCs w:val="22"/>
          <w:lang w:val="es-CL" w:eastAsia="es-CL"/>
        </w:rPr>
        <w:t>moneda de los</w:t>
      </w:r>
      <w:r w:rsidR="00884791" w:rsidRPr="00252C1F">
        <w:rPr>
          <w:rFonts w:ascii="Arial" w:eastAsia="Calibri" w:hAnsi="Arial" w:cs="Arial"/>
          <w:sz w:val="22"/>
          <w:szCs w:val="22"/>
          <w:lang w:val="es-CL" w:eastAsia="es-CL"/>
        </w:rPr>
        <w:t xml:space="preserve"> </w:t>
      </w:r>
      <w:r w:rsidR="004869AB" w:rsidRPr="00252C1F">
        <w:rPr>
          <w:rFonts w:ascii="Arial" w:eastAsia="Calibri" w:hAnsi="Arial" w:cs="Arial"/>
          <w:sz w:val="22"/>
          <w:szCs w:val="22"/>
          <w:lang w:val="es-CL" w:eastAsia="es-CL"/>
        </w:rPr>
        <w:t>Estados Unidos de América</w:t>
      </w:r>
      <w:r w:rsidR="00F64BD6">
        <w:rPr>
          <w:rFonts w:ascii="Arial" w:eastAsia="Calibri" w:hAnsi="Arial" w:cs="Arial"/>
          <w:sz w:val="22"/>
          <w:szCs w:val="22"/>
          <w:lang w:val="es-CL" w:eastAsia="es-CL"/>
        </w:rPr>
        <w:t>)</w:t>
      </w:r>
      <w:r w:rsidR="004869AB" w:rsidRPr="00252C1F">
        <w:rPr>
          <w:rFonts w:ascii="Arial" w:eastAsia="Calibri" w:hAnsi="Arial" w:cs="Arial"/>
          <w:sz w:val="22"/>
          <w:szCs w:val="22"/>
          <w:lang w:val="es-CL" w:eastAsia="es-CL"/>
        </w:rPr>
        <w:t xml:space="preserve"> o su equivalente en otras</w:t>
      </w:r>
      <w:r w:rsidR="00884791" w:rsidRPr="00252C1F">
        <w:rPr>
          <w:rFonts w:ascii="Arial" w:eastAsia="Calibri" w:hAnsi="Arial" w:cs="Arial"/>
          <w:sz w:val="22"/>
          <w:szCs w:val="22"/>
          <w:lang w:val="es-CL" w:eastAsia="es-CL"/>
        </w:rPr>
        <w:t xml:space="preserve"> </w:t>
      </w:r>
      <w:r w:rsidR="004869AB" w:rsidRPr="00252C1F">
        <w:rPr>
          <w:rFonts w:ascii="Arial" w:eastAsia="Calibri" w:hAnsi="Arial" w:cs="Arial"/>
          <w:sz w:val="22"/>
          <w:szCs w:val="22"/>
          <w:lang w:val="es-CL" w:eastAsia="es-CL"/>
        </w:rPr>
        <w:t>monedas extranjeras</w:t>
      </w:r>
      <w:r w:rsidR="0051012E" w:rsidRPr="00252C1F">
        <w:rPr>
          <w:rFonts w:ascii="Arial" w:eastAsia="Calibri" w:hAnsi="Arial" w:cs="Arial"/>
          <w:sz w:val="22"/>
          <w:szCs w:val="22"/>
          <w:lang w:val="es-CL" w:eastAsia="es-CL"/>
        </w:rPr>
        <w:t>,</w:t>
      </w:r>
      <w:r w:rsidR="004869AB" w:rsidRPr="00252C1F">
        <w:rPr>
          <w:rFonts w:ascii="Arial" w:eastAsia="Calibri" w:hAnsi="Arial" w:cs="Arial"/>
          <w:sz w:val="22"/>
          <w:szCs w:val="22"/>
          <w:lang w:val="es-CL" w:eastAsia="es-CL"/>
        </w:rPr>
        <w:t xml:space="preserve"> que tengan por objeto el desarrollo</w:t>
      </w:r>
      <w:r w:rsidR="00884791" w:rsidRPr="00252C1F">
        <w:rPr>
          <w:rFonts w:ascii="Arial" w:eastAsia="Calibri" w:hAnsi="Arial" w:cs="Arial"/>
          <w:sz w:val="22"/>
          <w:szCs w:val="22"/>
          <w:lang w:val="es-CL" w:eastAsia="es-CL"/>
        </w:rPr>
        <w:t xml:space="preserve"> </w:t>
      </w:r>
      <w:r w:rsidR="004869AB" w:rsidRPr="00252C1F">
        <w:rPr>
          <w:rFonts w:ascii="Arial" w:eastAsia="Calibri" w:hAnsi="Arial" w:cs="Arial"/>
          <w:sz w:val="22"/>
          <w:szCs w:val="22"/>
          <w:lang w:val="es-CL" w:eastAsia="es-CL"/>
        </w:rPr>
        <w:t>de proyectos industriales o extractivos, incluyendo los</w:t>
      </w:r>
      <w:r w:rsidR="00884791" w:rsidRPr="00252C1F">
        <w:rPr>
          <w:rFonts w:ascii="Arial" w:eastAsia="Calibri" w:hAnsi="Arial" w:cs="Arial"/>
          <w:sz w:val="22"/>
          <w:szCs w:val="22"/>
          <w:lang w:val="es-CL" w:eastAsia="es-CL"/>
        </w:rPr>
        <w:t xml:space="preserve"> </w:t>
      </w:r>
      <w:r w:rsidR="004869AB" w:rsidRPr="00252C1F">
        <w:rPr>
          <w:rFonts w:ascii="Arial" w:eastAsia="Calibri" w:hAnsi="Arial" w:cs="Arial"/>
          <w:sz w:val="22"/>
          <w:szCs w:val="22"/>
          <w:lang w:val="es-CL" w:eastAsia="es-CL"/>
        </w:rPr>
        <w:t>mineros y que se internen en conformidad al artículo 2°,</w:t>
      </w:r>
      <w:r w:rsidR="0051012E" w:rsidRPr="00252C1F">
        <w:rPr>
          <w:rFonts w:ascii="Arial" w:eastAsia="Calibri" w:hAnsi="Arial" w:cs="Arial"/>
          <w:sz w:val="22"/>
          <w:szCs w:val="22"/>
          <w:lang w:val="es-CL" w:eastAsia="es-CL"/>
        </w:rPr>
        <w:t xml:space="preserve"> del mismo texto legal,</w:t>
      </w:r>
      <w:r w:rsidR="00884791" w:rsidRPr="00252C1F">
        <w:rPr>
          <w:rFonts w:ascii="Arial" w:eastAsia="Calibri" w:hAnsi="Arial" w:cs="Arial"/>
          <w:sz w:val="22"/>
          <w:szCs w:val="22"/>
          <w:lang w:val="es-CL" w:eastAsia="es-CL"/>
        </w:rPr>
        <w:t xml:space="preserve"> </w:t>
      </w:r>
      <w:r w:rsidR="004869AB" w:rsidRPr="00252C1F">
        <w:rPr>
          <w:rFonts w:ascii="Arial" w:eastAsia="Calibri" w:hAnsi="Arial" w:cs="Arial"/>
          <w:sz w:val="22"/>
          <w:szCs w:val="22"/>
          <w:lang w:val="es-CL" w:eastAsia="es-CL"/>
        </w:rPr>
        <w:t>podrán concederse los derechos</w:t>
      </w:r>
      <w:r w:rsidR="00884791" w:rsidRPr="00252C1F">
        <w:rPr>
          <w:rFonts w:ascii="Arial" w:eastAsia="Calibri" w:hAnsi="Arial" w:cs="Arial"/>
          <w:sz w:val="22"/>
          <w:szCs w:val="22"/>
          <w:lang w:val="es-CL" w:eastAsia="es-CL"/>
        </w:rPr>
        <w:t xml:space="preserve"> </w:t>
      </w:r>
      <w:r w:rsidR="004869AB" w:rsidRPr="00252C1F">
        <w:rPr>
          <w:rFonts w:ascii="Arial" w:eastAsia="Calibri" w:hAnsi="Arial" w:cs="Arial"/>
          <w:sz w:val="22"/>
          <w:szCs w:val="22"/>
          <w:lang w:val="es-CL" w:eastAsia="es-CL"/>
        </w:rPr>
        <w:t>que se enumeran</w:t>
      </w:r>
      <w:r w:rsidR="00EC4A61" w:rsidRPr="00252C1F">
        <w:rPr>
          <w:rFonts w:ascii="Arial" w:eastAsia="Calibri" w:hAnsi="Arial" w:cs="Arial"/>
          <w:sz w:val="22"/>
          <w:szCs w:val="22"/>
          <w:lang w:val="es-CL" w:eastAsia="es-CL"/>
        </w:rPr>
        <w:t>. En este caso</w:t>
      </w:r>
      <w:r w:rsidR="0051012E" w:rsidRPr="00252C1F">
        <w:rPr>
          <w:rFonts w:ascii="Arial" w:eastAsia="Calibri" w:hAnsi="Arial" w:cs="Arial"/>
          <w:sz w:val="22"/>
          <w:szCs w:val="22"/>
          <w:lang w:val="es-CL" w:eastAsia="es-CL"/>
        </w:rPr>
        <w:t>,</w:t>
      </w:r>
      <w:r w:rsidR="00EC4A61" w:rsidRPr="00252C1F">
        <w:rPr>
          <w:rFonts w:ascii="Arial" w:eastAsia="Calibri" w:hAnsi="Arial" w:cs="Arial"/>
          <w:sz w:val="22"/>
          <w:szCs w:val="22"/>
          <w:lang w:val="es-CL" w:eastAsia="es-CL"/>
        </w:rPr>
        <w:t xml:space="preserve"> e</w:t>
      </w:r>
      <w:r w:rsidR="004869AB" w:rsidRPr="00252C1F">
        <w:rPr>
          <w:rFonts w:ascii="Arial" w:eastAsia="Calibri" w:hAnsi="Arial" w:cs="Arial"/>
          <w:sz w:val="22"/>
          <w:szCs w:val="22"/>
          <w:lang w:val="es-CL" w:eastAsia="es-CL"/>
        </w:rPr>
        <w:t>l plazo</w:t>
      </w:r>
      <w:r w:rsidR="00DA039A" w:rsidRPr="00252C1F">
        <w:rPr>
          <w:rFonts w:ascii="Arial" w:eastAsia="Calibri" w:hAnsi="Arial" w:cs="Arial"/>
          <w:sz w:val="22"/>
          <w:szCs w:val="22"/>
          <w:lang w:val="es-CL" w:eastAsia="es-CL"/>
        </w:rPr>
        <w:t xml:space="preserve"> de invariabilidad</w:t>
      </w:r>
      <w:r w:rsidR="004869AB" w:rsidRPr="00252C1F">
        <w:rPr>
          <w:rFonts w:ascii="Arial" w:eastAsia="Calibri" w:hAnsi="Arial" w:cs="Arial"/>
          <w:sz w:val="22"/>
          <w:szCs w:val="22"/>
          <w:lang w:val="es-CL" w:eastAsia="es-CL"/>
        </w:rPr>
        <w:t xml:space="preserve"> </w:t>
      </w:r>
      <w:r w:rsidR="004869AB" w:rsidRPr="00252C1F">
        <w:rPr>
          <w:rFonts w:ascii="Arial" w:eastAsia="Calibri" w:hAnsi="Arial" w:cs="Arial"/>
          <w:b/>
          <w:sz w:val="22"/>
          <w:szCs w:val="22"/>
          <w:lang w:val="es-CL" w:eastAsia="es-CL"/>
        </w:rPr>
        <w:t>de 10 años</w:t>
      </w:r>
      <w:r w:rsidR="004869AB" w:rsidRPr="00252C1F">
        <w:rPr>
          <w:rFonts w:ascii="Arial" w:eastAsia="Calibri" w:hAnsi="Arial" w:cs="Arial"/>
          <w:sz w:val="22"/>
          <w:szCs w:val="22"/>
          <w:lang w:val="es-CL" w:eastAsia="es-CL"/>
        </w:rPr>
        <w:t xml:space="preserve"> a que se refiere el artículo</w:t>
      </w:r>
      <w:r w:rsidR="00EC4A61" w:rsidRPr="00252C1F">
        <w:rPr>
          <w:rFonts w:ascii="Arial" w:eastAsia="Calibri" w:hAnsi="Arial" w:cs="Arial"/>
          <w:sz w:val="22"/>
          <w:szCs w:val="22"/>
          <w:lang w:val="es-CL" w:eastAsia="es-CL"/>
        </w:rPr>
        <w:t xml:space="preserve"> </w:t>
      </w:r>
      <w:r w:rsidR="004869AB" w:rsidRPr="00252C1F">
        <w:rPr>
          <w:rFonts w:ascii="Arial" w:eastAsia="Calibri" w:hAnsi="Arial" w:cs="Arial"/>
          <w:sz w:val="22"/>
          <w:szCs w:val="22"/>
          <w:lang w:val="es-CL" w:eastAsia="es-CL"/>
        </w:rPr>
        <w:t xml:space="preserve">7 </w:t>
      </w:r>
      <w:r w:rsidR="00EC4A61" w:rsidRPr="00252C1F">
        <w:rPr>
          <w:rFonts w:ascii="Arial" w:eastAsia="Calibri" w:hAnsi="Arial" w:cs="Arial"/>
          <w:sz w:val="22"/>
          <w:szCs w:val="22"/>
          <w:lang w:val="es-CL" w:eastAsia="es-CL"/>
        </w:rPr>
        <w:t>antes citado</w:t>
      </w:r>
      <w:r w:rsidR="0051012E" w:rsidRPr="00252C1F">
        <w:rPr>
          <w:rFonts w:ascii="Arial" w:eastAsia="Calibri" w:hAnsi="Arial" w:cs="Arial"/>
          <w:sz w:val="22"/>
          <w:szCs w:val="22"/>
          <w:lang w:val="es-CL" w:eastAsia="es-CL"/>
        </w:rPr>
        <w:t>,</w:t>
      </w:r>
      <w:r w:rsidR="00EC4A61" w:rsidRPr="00252C1F">
        <w:rPr>
          <w:rFonts w:ascii="Arial" w:eastAsia="Calibri" w:hAnsi="Arial" w:cs="Arial"/>
          <w:sz w:val="22"/>
          <w:szCs w:val="22"/>
          <w:lang w:val="es-CL" w:eastAsia="es-CL"/>
        </w:rPr>
        <w:t xml:space="preserve"> </w:t>
      </w:r>
      <w:r w:rsidR="004869AB" w:rsidRPr="00252C1F">
        <w:rPr>
          <w:rFonts w:ascii="Arial" w:eastAsia="Calibri" w:hAnsi="Arial" w:cs="Arial"/>
          <w:sz w:val="22"/>
          <w:szCs w:val="22"/>
          <w:lang w:val="es-CL" w:eastAsia="es-CL"/>
        </w:rPr>
        <w:t>podrá ser aumentado en términos compatibles</w:t>
      </w:r>
      <w:r w:rsidR="00EC4A61" w:rsidRPr="00252C1F">
        <w:rPr>
          <w:rFonts w:ascii="Arial" w:eastAsia="Calibri" w:hAnsi="Arial" w:cs="Arial"/>
          <w:sz w:val="22"/>
          <w:szCs w:val="22"/>
          <w:lang w:val="es-CL" w:eastAsia="es-CL"/>
        </w:rPr>
        <w:t xml:space="preserve"> </w:t>
      </w:r>
      <w:r w:rsidR="004869AB" w:rsidRPr="00252C1F">
        <w:rPr>
          <w:rFonts w:ascii="Arial" w:eastAsia="Calibri" w:hAnsi="Arial" w:cs="Arial"/>
          <w:sz w:val="22"/>
          <w:szCs w:val="22"/>
          <w:lang w:val="es-CL" w:eastAsia="es-CL"/>
        </w:rPr>
        <w:t>con la duración estimada del proyecto, pero en</w:t>
      </w:r>
      <w:r w:rsidR="00EC4A61" w:rsidRPr="00252C1F">
        <w:rPr>
          <w:rFonts w:ascii="Arial" w:eastAsia="Calibri" w:hAnsi="Arial" w:cs="Arial"/>
          <w:sz w:val="22"/>
          <w:szCs w:val="22"/>
          <w:lang w:val="es-CL" w:eastAsia="es-CL"/>
        </w:rPr>
        <w:t xml:space="preserve"> </w:t>
      </w:r>
      <w:r w:rsidR="004869AB" w:rsidRPr="00252C1F">
        <w:rPr>
          <w:rFonts w:ascii="Arial" w:eastAsia="Calibri" w:hAnsi="Arial" w:cs="Arial"/>
          <w:sz w:val="22"/>
          <w:szCs w:val="22"/>
          <w:lang w:val="es-CL" w:eastAsia="es-CL"/>
        </w:rPr>
        <w:t>caso alguno</w:t>
      </w:r>
      <w:r w:rsidR="0051012E" w:rsidRPr="00252C1F">
        <w:rPr>
          <w:rFonts w:ascii="Arial" w:eastAsia="Calibri" w:hAnsi="Arial" w:cs="Arial"/>
          <w:sz w:val="22"/>
          <w:szCs w:val="22"/>
          <w:lang w:val="es-CL" w:eastAsia="es-CL"/>
        </w:rPr>
        <w:t xml:space="preserve"> dicho plazo</w:t>
      </w:r>
      <w:r w:rsidR="004869AB" w:rsidRPr="00252C1F">
        <w:rPr>
          <w:rFonts w:ascii="Arial" w:eastAsia="Calibri" w:hAnsi="Arial" w:cs="Arial"/>
          <w:sz w:val="22"/>
          <w:szCs w:val="22"/>
          <w:lang w:val="es-CL" w:eastAsia="es-CL"/>
        </w:rPr>
        <w:t xml:space="preserve"> podrá exceder de un total </w:t>
      </w:r>
      <w:r w:rsidR="004869AB" w:rsidRPr="00252C1F">
        <w:rPr>
          <w:rFonts w:ascii="Arial" w:eastAsia="Calibri" w:hAnsi="Arial" w:cs="Arial"/>
          <w:b/>
          <w:sz w:val="22"/>
          <w:szCs w:val="22"/>
          <w:lang w:val="es-CL" w:eastAsia="es-CL"/>
        </w:rPr>
        <w:t>de 20 años</w:t>
      </w:r>
      <w:r w:rsidR="004869AB" w:rsidRPr="00252C1F">
        <w:rPr>
          <w:rFonts w:ascii="Arial" w:eastAsia="Calibri" w:hAnsi="Arial" w:cs="Arial"/>
          <w:sz w:val="22"/>
          <w:szCs w:val="22"/>
          <w:lang w:val="es-CL" w:eastAsia="es-CL"/>
        </w:rPr>
        <w:t>.</w:t>
      </w:r>
    </w:p>
    <w:p w:rsidR="00050355" w:rsidRPr="00252C1F" w:rsidRDefault="00050355" w:rsidP="006271CE">
      <w:pPr>
        <w:tabs>
          <w:tab w:val="left" w:pos="284"/>
        </w:tabs>
        <w:autoSpaceDE w:val="0"/>
        <w:autoSpaceDN w:val="0"/>
        <w:adjustRightInd w:val="0"/>
        <w:ind w:right="-93"/>
        <w:jc w:val="both"/>
        <w:rPr>
          <w:rFonts w:ascii="Arial" w:eastAsia="Calibri" w:hAnsi="Arial" w:cs="Arial"/>
          <w:sz w:val="22"/>
          <w:szCs w:val="22"/>
          <w:lang w:val="es-CL" w:eastAsia="es-CL"/>
        </w:rPr>
      </w:pPr>
    </w:p>
    <w:p w:rsidR="00A0795F" w:rsidRPr="00DE1B57" w:rsidRDefault="009D64EA" w:rsidP="006271CE">
      <w:pPr>
        <w:numPr>
          <w:ilvl w:val="0"/>
          <w:numId w:val="34"/>
        </w:numPr>
        <w:tabs>
          <w:tab w:val="left" w:pos="284"/>
        </w:tabs>
        <w:autoSpaceDE w:val="0"/>
        <w:autoSpaceDN w:val="0"/>
        <w:adjustRightInd w:val="0"/>
        <w:ind w:left="0" w:right="-93" w:firstLine="0"/>
        <w:jc w:val="both"/>
        <w:rPr>
          <w:rFonts w:ascii="Arial" w:eastAsia="Calibri" w:hAnsi="Arial" w:cs="Arial"/>
          <w:sz w:val="22"/>
          <w:szCs w:val="22"/>
          <w:lang w:val="es-CL" w:eastAsia="es-CL"/>
        </w:rPr>
      </w:pPr>
      <w:r w:rsidRPr="00DE1B57">
        <w:rPr>
          <w:rFonts w:ascii="Arial" w:eastAsia="Calibri" w:hAnsi="Arial" w:cs="Arial"/>
          <w:sz w:val="22"/>
          <w:szCs w:val="22"/>
          <w:lang w:val="es-CL" w:eastAsia="es-CL"/>
        </w:rPr>
        <w:t>Los</w:t>
      </w:r>
      <w:r w:rsidR="00A0795F" w:rsidRPr="00DE1B57">
        <w:rPr>
          <w:rFonts w:ascii="Arial" w:eastAsia="Calibri" w:hAnsi="Arial" w:cs="Arial"/>
          <w:sz w:val="22"/>
          <w:szCs w:val="22"/>
          <w:lang w:val="es-CL" w:eastAsia="es-CL"/>
        </w:rPr>
        <w:t xml:space="preserve"> contribuyentes</w:t>
      </w:r>
      <w:r w:rsidRPr="00DE1B57">
        <w:rPr>
          <w:rFonts w:ascii="Arial" w:eastAsia="Calibri" w:hAnsi="Arial" w:cs="Arial"/>
          <w:sz w:val="22"/>
          <w:szCs w:val="22"/>
          <w:lang w:val="es-CL" w:eastAsia="es-CL"/>
        </w:rPr>
        <w:t xml:space="preserve"> señalados en las letras </w:t>
      </w:r>
      <w:r w:rsidRPr="00DE1B57">
        <w:rPr>
          <w:rFonts w:ascii="Arial" w:eastAsia="Calibri" w:hAnsi="Arial" w:cs="Arial"/>
          <w:b/>
          <w:sz w:val="22"/>
          <w:szCs w:val="22"/>
          <w:lang w:val="es-CL" w:eastAsia="es-CL"/>
        </w:rPr>
        <w:t>(a)</w:t>
      </w:r>
      <w:r w:rsidRPr="00DE1B57">
        <w:rPr>
          <w:rFonts w:ascii="Arial" w:eastAsia="Calibri" w:hAnsi="Arial" w:cs="Arial"/>
          <w:sz w:val="22"/>
          <w:szCs w:val="22"/>
          <w:lang w:val="es-CL" w:eastAsia="es-CL"/>
        </w:rPr>
        <w:t xml:space="preserve"> y </w:t>
      </w:r>
      <w:r w:rsidRPr="00DE1B57">
        <w:rPr>
          <w:rFonts w:ascii="Arial" w:eastAsia="Calibri" w:hAnsi="Arial" w:cs="Arial"/>
          <w:b/>
          <w:sz w:val="22"/>
          <w:szCs w:val="22"/>
          <w:lang w:val="es-CL" w:eastAsia="es-CL"/>
        </w:rPr>
        <w:t>(b)</w:t>
      </w:r>
      <w:r w:rsidRPr="00DE1B57">
        <w:rPr>
          <w:rFonts w:ascii="Arial" w:eastAsia="Calibri" w:hAnsi="Arial" w:cs="Arial"/>
          <w:sz w:val="22"/>
          <w:szCs w:val="22"/>
          <w:lang w:val="es-CL" w:eastAsia="es-CL"/>
        </w:rPr>
        <w:t xml:space="preserve"> precedentes</w:t>
      </w:r>
      <w:r w:rsidR="00A0795F" w:rsidRPr="00DE1B57">
        <w:rPr>
          <w:rFonts w:ascii="Arial" w:eastAsia="Calibri" w:hAnsi="Arial" w:cs="Arial"/>
          <w:sz w:val="22"/>
          <w:szCs w:val="22"/>
          <w:lang w:val="es-CL" w:eastAsia="es-CL"/>
        </w:rPr>
        <w:t>, por consiguiente, podrán optar por reemplazar el régimen tributario señalado</w:t>
      </w:r>
      <w:r w:rsidR="00D90919" w:rsidRPr="00DE1B57">
        <w:rPr>
          <w:rFonts w:ascii="Arial" w:eastAsia="Calibri" w:hAnsi="Arial" w:cs="Arial"/>
          <w:sz w:val="22"/>
          <w:szCs w:val="22"/>
          <w:lang w:val="es-CL" w:eastAsia="es-CL"/>
        </w:rPr>
        <w:t xml:space="preserve"> en </w:t>
      </w:r>
      <w:r w:rsidRPr="00DE1B57">
        <w:rPr>
          <w:rFonts w:ascii="Arial" w:eastAsia="Calibri" w:hAnsi="Arial" w:cs="Arial"/>
          <w:sz w:val="22"/>
          <w:szCs w:val="22"/>
          <w:lang w:val="es-CL" w:eastAsia="es-CL"/>
        </w:rPr>
        <w:t>esas</w:t>
      </w:r>
      <w:r w:rsidR="00D90919" w:rsidRPr="00DE1B57">
        <w:rPr>
          <w:rFonts w:ascii="Arial" w:eastAsia="Calibri" w:hAnsi="Arial" w:cs="Arial"/>
          <w:sz w:val="22"/>
          <w:szCs w:val="22"/>
          <w:lang w:val="es-CL" w:eastAsia="es-CL"/>
        </w:rPr>
        <w:t xml:space="preserve"> letras</w:t>
      </w:r>
      <w:r w:rsidR="00A0795F" w:rsidRPr="00DE1B57">
        <w:rPr>
          <w:rFonts w:ascii="Arial" w:eastAsia="Calibri" w:hAnsi="Arial" w:cs="Arial"/>
          <w:sz w:val="22"/>
          <w:szCs w:val="22"/>
          <w:lang w:val="es-CL" w:eastAsia="es-CL"/>
        </w:rPr>
        <w:t xml:space="preserve">, por el establecido en los artículos 1° y 2° </w:t>
      </w:r>
      <w:r w:rsidRPr="00DE1B57">
        <w:rPr>
          <w:rFonts w:ascii="Arial" w:eastAsia="Calibri" w:hAnsi="Arial" w:cs="Arial"/>
          <w:sz w:val="22"/>
          <w:szCs w:val="22"/>
          <w:lang w:val="es-CL" w:eastAsia="es-CL"/>
        </w:rPr>
        <w:t>t</w:t>
      </w:r>
      <w:r w:rsidR="00A0795F" w:rsidRPr="00DE1B57">
        <w:rPr>
          <w:rFonts w:ascii="Arial" w:eastAsia="Calibri" w:hAnsi="Arial" w:cs="Arial"/>
          <w:sz w:val="22"/>
          <w:szCs w:val="22"/>
          <w:lang w:val="es-CL" w:eastAsia="es-CL"/>
        </w:rPr>
        <w:t>ransitorio</w:t>
      </w:r>
      <w:r w:rsidRPr="00DE1B57">
        <w:rPr>
          <w:rFonts w:ascii="Arial" w:eastAsia="Calibri" w:hAnsi="Arial" w:cs="Arial"/>
          <w:sz w:val="22"/>
          <w:szCs w:val="22"/>
          <w:lang w:val="es-CL" w:eastAsia="es-CL"/>
        </w:rPr>
        <w:t>s</w:t>
      </w:r>
      <w:r w:rsidR="00A0795F" w:rsidRPr="00DE1B57">
        <w:rPr>
          <w:rFonts w:ascii="Arial" w:eastAsia="Calibri" w:hAnsi="Arial" w:cs="Arial"/>
          <w:sz w:val="22"/>
          <w:szCs w:val="22"/>
          <w:lang w:val="es-CL" w:eastAsia="es-CL"/>
        </w:rPr>
        <w:t xml:space="preserve"> de la Ley 20.469,</w:t>
      </w:r>
      <w:r w:rsidRPr="00DE1B57">
        <w:rPr>
          <w:rFonts w:ascii="Arial" w:eastAsia="Calibri" w:hAnsi="Arial" w:cs="Arial"/>
          <w:sz w:val="22"/>
          <w:szCs w:val="22"/>
          <w:lang w:val="es-CL" w:eastAsia="es-CL"/>
        </w:rPr>
        <w:t xml:space="preserve"> con las modificaciones contenidas en los incisos 3°, 4° y 5°</w:t>
      </w:r>
      <w:r w:rsidR="00DB2931" w:rsidRPr="00DE1B57">
        <w:rPr>
          <w:rFonts w:ascii="Arial" w:eastAsia="Calibri" w:hAnsi="Arial" w:cs="Arial"/>
          <w:sz w:val="22"/>
          <w:szCs w:val="22"/>
          <w:lang w:val="es-CL" w:eastAsia="es-CL"/>
        </w:rPr>
        <w:t xml:space="preserve"> del artículo 3° transitorio de la misma Ley</w:t>
      </w:r>
      <w:r w:rsidR="00A0795F" w:rsidRPr="00DE1B57">
        <w:rPr>
          <w:rFonts w:ascii="Arial" w:eastAsia="Calibri" w:hAnsi="Arial" w:cs="Arial"/>
          <w:sz w:val="22"/>
          <w:szCs w:val="22"/>
          <w:lang w:val="es-CL" w:eastAsia="es-CL"/>
        </w:rPr>
        <w:t>.</w:t>
      </w:r>
    </w:p>
    <w:p w:rsidR="00D9520A" w:rsidRPr="00252C1F" w:rsidRDefault="00D9520A" w:rsidP="006271CE">
      <w:pPr>
        <w:tabs>
          <w:tab w:val="left" w:pos="284"/>
        </w:tabs>
        <w:autoSpaceDE w:val="0"/>
        <w:autoSpaceDN w:val="0"/>
        <w:adjustRightInd w:val="0"/>
        <w:ind w:right="-93"/>
        <w:jc w:val="both"/>
        <w:rPr>
          <w:rFonts w:ascii="Arial" w:eastAsia="Calibri" w:hAnsi="Arial" w:cs="Arial"/>
          <w:sz w:val="22"/>
          <w:szCs w:val="22"/>
          <w:lang w:val="es-CL" w:eastAsia="es-CL"/>
        </w:rPr>
      </w:pPr>
    </w:p>
    <w:p w:rsidR="00D9520A" w:rsidRPr="00252C1F" w:rsidRDefault="00D9520A" w:rsidP="006271CE">
      <w:pPr>
        <w:tabs>
          <w:tab w:val="left" w:pos="284"/>
        </w:tabs>
        <w:autoSpaceDE w:val="0"/>
        <w:autoSpaceDN w:val="0"/>
        <w:adjustRightInd w:val="0"/>
        <w:ind w:right="-93"/>
        <w:jc w:val="both"/>
        <w:rPr>
          <w:rFonts w:ascii="Arial" w:eastAsia="Calibri" w:hAnsi="Arial" w:cs="Arial"/>
          <w:sz w:val="22"/>
          <w:szCs w:val="22"/>
          <w:lang w:val="es-CL" w:eastAsia="es-CL"/>
        </w:rPr>
      </w:pPr>
      <w:r w:rsidRPr="00F24DEE">
        <w:rPr>
          <w:rFonts w:ascii="Arial" w:eastAsia="Calibri" w:hAnsi="Arial" w:cs="Arial"/>
          <w:sz w:val="22"/>
          <w:szCs w:val="22"/>
          <w:lang w:val="es-CL" w:eastAsia="es-CL"/>
        </w:rPr>
        <w:t xml:space="preserve">Del mismo modo, es necesario precisar que para optar por el régimen comentado, la Ley sólo exige que se trate de contribuyentes acogidos a los artículos 7 u 11 bis del DL 600, de 1974, de modo que resulta evidente que no son aplicables </w:t>
      </w:r>
      <w:r w:rsidR="00A5502B" w:rsidRPr="00F24DEE">
        <w:rPr>
          <w:rFonts w:ascii="Arial" w:eastAsia="Calibri" w:hAnsi="Arial" w:cs="Arial"/>
          <w:sz w:val="22"/>
          <w:szCs w:val="22"/>
          <w:lang w:val="es-CL" w:eastAsia="es-CL"/>
        </w:rPr>
        <w:t xml:space="preserve">aquellos </w:t>
      </w:r>
      <w:r w:rsidRPr="00F24DEE">
        <w:rPr>
          <w:rFonts w:ascii="Arial" w:eastAsia="Calibri" w:hAnsi="Arial" w:cs="Arial"/>
          <w:sz w:val="22"/>
          <w:szCs w:val="22"/>
          <w:lang w:val="es-CL" w:eastAsia="es-CL"/>
        </w:rPr>
        <w:t>requisitos que establece el propio artículo 11 ter, del mismo texto legal</w:t>
      </w:r>
      <w:r w:rsidR="00A5502B" w:rsidRPr="00F24DEE">
        <w:rPr>
          <w:rFonts w:ascii="Arial" w:eastAsia="Calibri" w:hAnsi="Arial" w:cs="Arial"/>
          <w:sz w:val="22"/>
          <w:szCs w:val="22"/>
          <w:lang w:val="es-CL" w:eastAsia="es-CL"/>
        </w:rPr>
        <w:t>,</w:t>
      </w:r>
      <w:r w:rsidRPr="00F24DEE">
        <w:rPr>
          <w:rFonts w:ascii="Arial" w:eastAsia="Calibri" w:hAnsi="Arial" w:cs="Arial"/>
          <w:sz w:val="22"/>
          <w:szCs w:val="22"/>
          <w:lang w:val="es-CL" w:eastAsia="es-CL"/>
        </w:rPr>
        <w:t xml:space="preserve"> </w:t>
      </w:r>
      <w:r w:rsidR="00A5502B" w:rsidRPr="00F24DEE">
        <w:rPr>
          <w:rFonts w:ascii="Arial" w:eastAsia="Calibri" w:hAnsi="Arial" w:cs="Arial"/>
          <w:sz w:val="22"/>
          <w:szCs w:val="22"/>
          <w:lang w:val="es-CL" w:eastAsia="es-CL"/>
        </w:rPr>
        <w:t>que no digan relación con este régimen especial. Así por ejemplo, respecto de aquellos contribuyentes acogidos al artículo</w:t>
      </w:r>
      <w:r w:rsidR="00401C26" w:rsidRPr="00F24DEE">
        <w:rPr>
          <w:rFonts w:ascii="Arial" w:eastAsia="Calibri" w:hAnsi="Arial" w:cs="Arial"/>
          <w:sz w:val="22"/>
          <w:szCs w:val="22"/>
          <w:lang w:val="es-CL" w:eastAsia="es-CL"/>
        </w:rPr>
        <w:t xml:space="preserve"> 7 del citado DL 600, cuyas inversiones </w:t>
      </w:r>
      <w:r w:rsidR="00B66FF2" w:rsidRPr="00F24DEE">
        <w:rPr>
          <w:rFonts w:ascii="Arial" w:eastAsia="Calibri" w:hAnsi="Arial" w:cs="Arial"/>
          <w:sz w:val="22"/>
          <w:szCs w:val="22"/>
          <w:lang w:val="es-CL" w:eastAsia="es-CL"/>
        </w:rPr>
        <w:t>acogidas al contrato respectivo sean inferiores</w:t>
      </w:r>
      <w:r w:rsidR="00BF7BCF" w:rsidRPr="00F24DEE">
        <w:rPr>
          <w:rFonts w:ascii="Arial" w:eastAsia="Calibri" w:hAnsi="Arial" w:cs="Arial"/>
          <w:sz w:val="22"/>
          <w:szCs w:val="22"/>
          <w:lang w:val="es-CL" w:eastAsia="es-CL"/>
        </w:rPr>
        <w:t xml:space="preserve"> a US$50.000.000 o su equivalente en otras monedas extranjeras</w:t>
      </w:r>
      <w:r w:rsidR="00232B1C" w:rsidRPr="00F24DEE">
        <w:rPr>
          <w:rFonts w:ascii="Arial" w:eastAsia="Calibri" w:hAnsi="Arial" w:cs="Arial"/>
          <w:sz w:val="22"/>
          <w:szCs w:val="22"/>
          <w:lang w:val="es-CL" w:eastAsia="es-CL"/>
        </w:rPr>
        <w:t>, podrán ejercer la opción de reemplazar dicho régimen por el del artículo 11 ter, con las modificaciones que se analizarán</w:t>
      </w:r>
      <w:r w:rsidR="00B02253" w:rsidRPr="00F24DEE">
        <w:rPr>
          <w:rFonts w:ascii="Arial" w:eastAsia="Calibri" w:hAnsi="Arial" w:cs="Arial"/>
          <w:sz w:val="22"/>
          <w:szCs w:val="22"/>
          <w:lang w:val="es-CL" w:eastAsia="es-CL"/>
        </w:rPr>
        <w:t xml:space="preserve"> más adelante</w:t>
      </w:r>
      <w:r w:rsidR="00BF7BCF" w:rsidRPr="00F24DEE">
        <w:rPr>
          <w:rFonts w:ascii="Arial" w:eastAsia="Calibri" w:hAnsi="Arial" w:cs="Arial"/>
          <w:sz w:val="22"/>
          <w:szCs w:val="22"/>
          <w:lang w:val="es-CL" w:eastAsia="es-CL"/>
        </w:rPr>
        <w:t>.</w:t>
      </w:r>
      <w:r w:rsidR="009C7871" w:rsidRPr="00F24DEE">
        <w:rPr>
          <w:rFonts w:ascii="Arial" w:eastAsia="Calibri" w:hAnsi="Arial" w:cs="Arial"/>
          <w:sz w:val="22"/>
          <w:szCs w:val="22"/>
          <w:lang w:val="es-CL" w:eastAsia="es-CL"/>
        </w:rPr>
        <w:t xml:space="preserve"> Es más, la misma disposición transitoria comentada, cuando se refiere al cumplimiento por parte de estos contribuyentes de determinados requisitos establecidos por el artículo 11 ter, señala que deberá dar íntegro y oportuno cumplimiento a las condiciones establecidas en los incisos segundo y siguientes de dicho artículo, </w:t>
      </w:r>
      <w:r w:rsidR="00A31E4C" w:rsidRPr="00F24DEE">
        <w:rPr>
          <w:rFonts w:ascii="Arial" w:eastAsia="Calibri" w:hAnsi="Arial" w:cs="Arial"/>
          <w:sz w:val="22"/>
          <w:szCs w:val="22"/>
          <w:lang w:val="es-CL" w:eastAsia="es-CL"/>
        </w:rPr>
        <w:t>siendo que el requisito de monto que dicha disposición contempla se encuentra en su inciso 1°</w:t>
      </w:r>
      <w:r w:rsidR="009C7871" w:rsidRPr="00F24DEE">
        <w:rPr>
          <w:rFonts w:ascii="Arial" w:eastAsia="Calibri" w:hAnsi="Arial" w:cs="Arial"/>
          <w:sz w:val="22"/>
          <w:szCs w:val="22"/>
          <w:lang w:val="es-CL" w:eastAsia="es-CL"/>
        </w:rPr>
        <w:t>.</w:t>
      </w:r>
      <w:r w:rsidR="009C7871">
        <w:rPr>
          <w:rFonts w:ascii="Arial" w:eastAsia="Calibri" w:hAnsi="Arial" w:cs="Arial"/>
          <w:sz w:val="22"/>
          <w:szCs w:val="22"/>
          <w:lang w:val="es-CL" w:eastAsia="es-CL"/>
        </w:rPr>
        <w:t xml:space="preserve">   </w:t>
      </w:r>
      <w:r w:rsidR="00A5502B" w:rsidRPr="00252C1F">
        <w:rPr>
          <w:rFonts w:ascii="Arial" w:eastAsia="Calibri" w:hAnsi="Arial" w:cs="Arial"/>
          <w:sz w:val="22"/>
          <w:szCs w:val="22"/>
          <w:lang w:val="es-CL" w:eastAsia="es-CL"/>
        </w:rPr>
        <w:t xml:space="preserve"> </w:t>
      </w:r>
    </w:p>
    <w:p w:rsidR="00A0795F" w:rsidRPr="00252C1F" w:rsidRDefault="00F24DEE" w:rsidP="00F24DEE">
      <w:pPr>
        <w:tabs>
          <w:tab w:val="left" w:pos="5280"/>
        </w:tabs>
        <w:autoSpaceDE w:val="0"/>
        <w:autoSpaceDN w:val="0"/>
        <w:adjustRightInd w:val="0"/>
        <w:ind w:right="-93"/>
        <w:jc w:val="both"/>
        <w:rPr>
          <w:rFonts w:ascii="Arial" w:eastAsia="Calibri" w:hAnsi="Arial" w:cs="Arial"/>
          <w:sz w:val="22"/>
          <w:szCs w:val="22"/>
          <w:lang w:val="es-CL" w:eastAsia="es-CL"/>
        </w:rPr>
      </w:pPr>
      <w:r>
        <w:rPr>
          <w:rFonts w:ascii="Arial" w:eastAsia="Calibri" w:hAnsi="Arial" w:cs="Arial"/>
          <w:sz w:val="22"/>
          <w:szCs w:val="22"/>
          <w:lang w:val="es-CL" w:eastAsia="es-CL"/>
        </w:rPr>
        <w:tab/>
      </w:r>
    </w:p>
    <w:p w:rsidR="004403DF" w:rsidRDefault="004403DF" w:rsidP="00AF47E5">
      <w:pPr>
        <w:autoSpaceDE w:val="0"/>
        <w:autoSpaceDN w:val="0"/>
        <w:adjustRightInd w:val="0"/>
        <w:ind w:right="-93"/>
        <w:jc w:val="both"/>
        <w:rPr>
          <w:rFonts w:ascii="Arial" w:eastAsia="Calibri" w:hAnsi="Arial" w:cs="Arial"/>
          <w:b/>
          <w:sz w:val="22"/>
          <w:szCs w:val="22"/>
          <w:lang w:val="es-CL" w:eastAsia="es-CL"/>
        </w:rPr>
      </w:pPr>
    </w:p>
    <w:p w:rsidR="00497538" w:rsidRPr="00252C1F" w:rsidRDefault="00497538" w:rsidP="00AF47E5">
      <w:pPr>
        <w:autoSpaceDE w:val="0"/>
        <w:autoSpaceDN w:val="0"/>
        <w:adjustRightInd w:val="0"/>
        <w:ind w:right="-93"/>
        <w:jc w:val="both"/>
        <w:rPr>
          <w:rFonts w:ascii="Arial" w:eastAsia="Calibri" w:hAnsi="Arial" w:cs="Arial"/>
          <w:b/>
          <w:sz w:val="22"/>
          <w:szCs w:val="22"/>
          <w:lang w:val="es-CL" w:eastAsia="es-CL"/>
        </w:rPr>
      </w:pPr>
      <w:r w:rsidRPr="00252C1F">
        <w:rPr>
          <w:rFonts w:ascii="Arial" w:eastAsia="Calibri" w:hAnsi="Arial" w:cs="Arial"/>
          <w:b/>
          <w:sz w:val="22"/>
          <w:szCs w:val="22"/>
          <w:lang w:val="es-CL" w:eastAsia="es-CL"/>
        </w:rPr>
        <w:t>(</w:t>
      </w:r>
      <w:r w:rsidR="00014E07" w:rsidRPr="00252C1F">
        <w:rPr>
          <w:rFonts w:ascii="Arial" w:eastAsia="Calibri" w:hAnsi="Arial" w:cs="Arial"/>
          <w:b/>
          <w:sz w:val="22"/>
          <w:szCs w:val="22"/>
          <w:lang w:val="es-CL" w:eastAsia="es-CL"/>
        </w:rPr>
        <w:t>3.2</w:t>
      </w:r>
      <w:r w:rsidR="006C1055">
        <w:rPr>
          <w:rFonts w:ascii="Arial" w:eastAsia="Calibri" w:hAnsi="Arial" w:cs="Arial"/>
          <w:b/>
          <w:sz w:val="22"/>
          <w:szCs w:val="22"/>
          <w:lang w:val="es-CL" w:eastAsia="es-CL"/>
        </w:rPr>
        <w:t>.</w:t>
      </w:r>
      <w:r w:rsidRPr="00252C1F">
        <w:rPr>
          <w:rFonts w:ascii="Arial" w:eastAsia="Calibri" w:hAnsi="Arial" w:cs="Arial"/>
          <w:b/>
          <w:sz w:val="22"/>
          <w:szCs w:val="22"/>
          <w:lang w:val="es-CL" w:eastAsia="es-CL"/>
        </w:rPr>
        <w:t>) Normas aplicables.</w:t>
      </w:r>
    </w:p>
    <w:p w:rsidR="00497538" w:rsidRPr="00252C1F" w:rsidRDefault="00497538" w:rsidP="00AF47E5">
      <w:pPr>
        <w:autoSpaceDE w:val="0"/>
        <w:autoSpaceDN w:val="0"/>
        <w:adjustRightInd w:val="0"/>
        <w:ind w:right="-93"/>
        <w:jc w:val="both"/>
        <w:rPr>
          <w:rFonts w:ascii="Arial" w:eastAsia="Calibri" w:hAnsi="Arial" w:cs="Arial"/>
          <w:sz w:val="22"/>
          <w:szCs w:val="22"/>
          <w:lang w:val="es-CL" w:eastAsia="es-CL"/>
        </w:rPr>
      </w:pPr>
    </w:p>
    <w:p w:rsidR="00497538" w:rsidRPr="00252C1F" w:rsidRDefault="00C006D1" w:rsidP="00AF47E5">
      <w:pPr>
        <w:autoSpaceDE w:val="0"/>
        <w:autoSpaceDN w:val="0"/>
        <w:adjustRightInd w:val="0"/>
        <w:ind w:right="-93"/>
        <w:jc w:val="both"/>
        <w:rPr>
          <w:rFonts w:ascii="Arial" w:eastAsia="Calibri" w:hAnsi="Arial" w:cs="Arial"/>
          <w:sz w:val="22"/>
          <w:szCs w:val="22"/>
          <w:lang w:val="es-CL" w:eastAsia="es-CL"/>
        </w:rPr>
      </w:pPr>
      <w:r w:rsidRPr="00252C1F">
        <w:rPr>
          <w:rFonts w:ascii="Arial" w:eastAsia="Calibri" w:hAnsi="Arial" w:cs="Arial"/>
          <w:sz w:val="22"/>
          <w:szCs w:val="22"/>
          <w:lang w:val="es-CL" w:eastAsia="es-CL"/>
        </w:rPr>
        <w:t xml:space="preserve">Dichos contribuyentes, </w:t>
      </w:r>
      <w:r w:rsidR="006F310A" w:rsidRPr="00252C1F">
        <w:rPr>
          <w:rFonts w:ascii="Arial" w:eastAsia="Calibri" w:hAnsi="Arial" w:cs="Arial"/>
          <w:sz w:val="22"/>
          <w:szCs w:val="22"/>
          <w:lang w:val="es-CL" w:eastAsia="es-CL"/>
        </w:rPr>
        <w:t xml:space="preserve">que conforme al inciso 2°, del artículo 3° </w:t>
      </w:r>
      <w:r w:rsidR="007C17C1" w:rsidRPr="00252C1F">
        <w:rPr>
          <w:rFonts w:ascii="Arial" w:eastAsia="Calibri" w:hAnsi="Arial" w:cs="Arial"/>
          <w:sz w:val="22"/>
          <w:szCs w:val="22"/>
          <w:lang w:val="es-CL" w:eastAsia="es-CL"/>
        </w:rPr>
        <w:t>t</w:t>
      </w:r>
      <w:r w:rsidR="006F310A" w:rsidRPr="00252C1F">
        <w:rPr>
          <w:rFonts w:ascii="Arial" w:eastAsia="Calibri" w:hAnsi="Arial" w:cs="Arial"/>
          <w:sz w:val="22"/>
          <w:szCs w:val="22"/>
          <w:lang w:val="es-CL" w:eastAsia="es-CL"/>
        </w:rPr>
        <w:t xml:space="preserve">ransitorio, de la Ley 20.469, </w:t>
      </w:r>
      <w:r w:rsidR="00DA039A" w:rsidRPr="00252C1F">
        <w:rPr>
          <w:rFonts w:ascii="Arial" w:eastAsia="Calibri" w:hAnsi="Arial" w:cs="Arial"/>
          <w:sz w:val="22"/>
          <w:szCs w:val="22"/>
          <w:lang w:val="es-CL" w:eastAsia="es-CL"/>
        </w:rPr>
        <w:t xml:space="preserve">se acojan a lo dispuesto en los artículos 1° y 2° </w:t>
      </w:r>
      <w:r w:rsidR="00A31843" w:rsidRPr="00252C1F">
        <w:rPr>
          <w:rFonts w:ascii="Arial" w:eastAsia="Calibri" w:hAnsi="Arial" w:cs="Arial"/>
          <w:sz w:val="22"/>
          <w:szCs w:val="22"/>
          <w:lang w:val="es-CL" w:eastAsia="es-CL"/>
        </w:rPr>
        <w:t>t</w:t>
      </w:r>
      <w:r w:rsidR="00DA039A" w:rsidRPr="00252C1F">
        <w:rPr>
          <w:rFonts w:ascii="Arial" w:eastAsia="Calibri" w:hAnsi="Arial" w:cs="Arial"/>
          <w:sz w:val="22"/>
          <w:szCs w:val="22"/>
          <w:lang w:val="es-CL" w:eastAsia="es-CL"/>
        </w:rPr>
        <w:t>ransitorio</w:t>
      </w:r>
      <w:r w:rsidR="00A31843" w:rsidRPr="00252C1F">
        <w:rPr>
          <w:rFonts w:ascii="Arial" w:eastAsia="Calibri" w:hAnsi="Arial" w:cs="Arial"/>
          <w:sz w:val="22"/>
          <w:szCs w:val="22"/>
          <w:lang w:val="es-CL" w:eastAsia="es-CL"/>
        </w:rPr>
        <w:t>s</w:t>
      </w:r>
      <w:r w:rsidR="00DA039A" w:rsidRPr="00252C1F">
        <w:rPr>
          <w:rFonts w:ascii="Arial" w:eastAsia="Calibri" w:hAnsi="Arial" w:cs="Arial"/>
          <w:sz w:val="22"/>
          <w:szCs w:val="22"/>
          <w:lang w:val="es-CL" w:eastAsia="es-CL"/>
        </w:rPr>
        <w:t>, del</w:t>
      </w:r>
      <w:r w:rsidR="00A31843" w:rsidRPr="00252C1F">
        <w:rPr>
          <w:rFonts w:ascii="Arial" w:eastAsia="Calibri" w:hAnsi="Arial" w:cs="Arial"/>
          <w:sz w:val="22"/>
          <w:szCs w:val="22"/>
          <w:lang w:val="es-CL" w:eastAsia="es-CL"/>
        </w:rPr>
        <w:t xml:space="preserve"> mismo texto legal</w:t>
      </w:r>
      <w:r w:rsidR="00DA039A" w:rsidRPr="00252C1F">
        <w:rPr>
          <w:rFonts w:ascii="Arial" w:eastAsia="Calibri" w:hAnsi="Arial" w:cs="Arial"/>
          <w:sz w:val="22"/>
          <w:szCs w:val="22"/>
          <w:lang w:val="es-CL" w:eastAsia="es-CL"/>
        </w:rPr>
        <w:t>, se regirán por lo establecido en esas</w:t>
      </w:r>
      <w:r w:rsidR="006F310A" w:rsidRPr="00252C1F">
        <w:rPr>
          <w:rFonts w:ascii="Arial" w:eastAsia="Calibri" w:hAnsi="Arial" w:cs="Arial"/>
          <w:sz w:val="22"/>
          <w:szCs w:val="22"/>
          <w:lang w:val="es-CL" w:eastAsia="es-CL"/>
        </w:rPr>
        <w:t xml:space="preserve"> </w:t>
      </w:r>
      <w:r w:rsidR="00DA039A" w:rsidRPr="00252C1F">
        <w:rPr>
          <w:rFonts w:ascii="Arial" w:eastAsia="Calibri" w:hAnsi="Arial" w:cs="Arial"/>
          <w:sz w:val="22"/>
          <w:szCs w:val="22"/>
          <w:lang w:val="es-CL" w:eastAsia="es-CL"/>
        </w:rPr>
        <w:t>disposiciones legales</w:t>
      </w:r>
      <w:r w:rsidR="00A31843" w:rsidRPr="00252C1F">
        <w:rPr>
          <w:rFonts w:ascii="Arial" w:eastAsia="Calibri" w:hAnsi="Arial" w:cs="Arial"/>
          <w:sz w:val="22"/>
          <w:szCs w:val="22"/>
          <w:lang w:val="es-CL" w:eastAsia="es-CL"/>
        </w:rPr>
        <w:t>, y, obviamente, por lo dispuesto en el artículo 11 ter del DL 600</w:t>
      </w:r>
      <w:r w:rsidR="00B02253" w:rsidRPr="00252C1F">
        <w:rPr>
          <w:rFonts w:ascii="Arial" w:eastAsia="Calibri" w:hAnsi="Arial" w:cs="Arial"/>
          <w:sz w:val="22"/>
          <w:szCs w:val="22"/>
          <w:lang w:val="es-CL" w:eastAsia="es-CL"/>
        </w:rPr>
        <w:t>,</w:t>
      </w:r>
      <w:r w:rsidR="00A31843" w:rsidRPr="00252C1F">
        <w:rPr>
          <w:rFonts w:ascii="Arial" w:eastAsia="Calibri" w:hAnsi="Arial" w:cs="Arial"/>
          <w:sz w:val="22"/>
          <w:szCs w:val="22"/>
          <w:lang w:val="es-CL" w:eastAsia="es-CL"/>
        </w:rPr>
        <w:t xml:space="preserve"> de 1974.</w:t>
      </w:r>
    </w:p>
    <w:p w:rsidR="00497538" w:rsidRPr="00252C1F" w:rsidRDefault="00497538" w:rsidP="00AF47E5">
      <w:pPr>
        <w:autoSpaceDE w:val="0"/>
        <w:autoSpaceDN w:val="0"/>
        <w:adjustRightInd w:val="0"/>
        <w:ind w:right="-93"/>
        <w:jc w:val="both"/>
        <w:rPr>
          <w:rFonts w:ascii="Arial" w:eastAsia="Calibri" w:hAnsi="Arial" w:cs="Arial"/>
          <w:sz w:val="22"/>
          <w:szCs w:val="22"/>
          <w:lang w:val="es-CL" w:eastAsia="es-CL"/>
        </w:rPr>
      </w:pPr>
    </w:p>
    <w:p w:rsidR="004403DF" w:rsidRDefault="004403DF" w:rsidP="00AF47E5">
      <w:pPr>
        <w:autoSpaceDE w:val="0"/>
        <w:autoSpaceDN w:val="0"/>
        <w:adjustRightInd w:val="0"/>
        <w:ind w:right="-93"/>
        <w:jc w:val="both"/>
        <w:rPr>
          <w:rFonts w:ascii="Arial" w:eastAsia="Calibri" w:hAnsi="Arial" w:cs="Arial"/>
          <w:b/>
          <w:sz w:val="22"/>
          <w:szCs w:val="22"/>
          <w:lang w:val="es-CL" w:eastAsia="es-CL"/>
        </w:rPr>
      </w:pPr>
    </w:p>
    <w:p w:rsidR="00497538" w:rsidRPr="00252C1F" w:rsidRDefault="003B0800" w:rsidP="00AF47E5">
      <w:pPr>
        <w:autoSpaceDE w:val="0"/>
        <w:autoSpaceDN w:val="0"/>
        <w:adjustRightInd w:val="0"/>
        <w:ind w:right="-93"/>
        <w:jc w:val="both"/>
        <w:rPr>
          <w:rFonts w:ascii="Arial" w:eastAsia="Calibri" w:hAnsi="Arial" w:cs="Arial"/>
          <w:b/>
          <w:sz w:val="22"/>
          <w:szCs w:val="22"/>
          <w:lang w:val="es-CL" w:eastAsia="es-CL"/>
        </w:rPr>
      </w:pPr>
      <w:r w:rsidRPr="00252C1F">
        <w:rPr>
          <w:rFonts w:ascii="Arial" w:eastAsia="Calibri" w:hAnsi="Arial" w:cs="Arial"/>
          <w:b/>
          <w:sz w:val="22"/>
          <w:szCs w:val="22"/>
          <w:lang w:val="es-CL" w:eastAsia="es-CL"/>
        </w:rPr>
        <w:t>(</w:t>
      </w:r>
      <w:r w:rsidR="00014E07" w:rsidRPr="00252C1F">
        <w:rPr>
          <w:rFonts w:ascii="Arial" w:eastAsia="Calibri" w:hAnsi="Arial" w:cs="Arial"/>
          <w:b/>
          <w:sz w:val="22"/>
          <w:szCs w:val="22"/>
          <w:lang w:val="es-CL" w:eastAsia="es-CL"/>
        </w:rPr>
        <w:t>3.3</w:t>
      </w:r>
      <w:r w:rsidR="006C1055">
        <w:rPr>
          <w:rFonts w:ascii="Arial" w:eastAsia="Calibri" w:hAnsi="Arial" w:cs="Arial"/>
          <w:b/>
          <w:sz w:val="22"/>
          <w:szCs w:val="22"/>
          <w:lang w:val="es-CL" w:eastAsia="es-CL"/>
        </w:rPr>
        <w:t>.</w:t>
      </w:r>
      <w:r w:rsidRPr="00252C1F">
        <w:rPr>
          <w:rFonts w:ascii="Arial" w:eastAsia="Calibri" w:hAnsi="Arial" w:cs="Arial"/>
          <w:b/>
          <w:sz w:val="22"/>
          <w:szCs w:val="22"/>
          <w:lang w:val="es-CL" w:eastAsia="es-CL"/>
        </w:rPr>
        <w:t>) Modificaciones.</w:t>
      </w:r>
    </w:p>
    <w:p w:rsidR="003B0800" w:rsidRPr="00252C1F" w:rsidRDefault="003B0800" w:rsidP="00AF47E5">
      <w:pPr>
        <w:autoSpaceDE w:val="0"/>
        <w:autoSpaceDN w:val="0"/>
        <w:adjustRightInd w:val="0"/>
        <w:ind w:right="-93"/>
        <w:jc w:val="both"/>
        <w:rPr>
          <w:rFonts w:ascii="Arial" w:eastAsia="Calibri" w:hAnsi="Arial" w:cs="Arial"/>
          <w:sz w:val="22"/>
          <w:szCs w:val="22"/>
          <w:lang w:val="es-CL" w:eastAsia="es-CL"/>
        </w:rPr>
      </w:pPr>
    </w:p>
    <w:p w:rsidR="006C440D" w:rsidRPr="00252C1F" w:rsidRDefault="00B02253" w:rsidP="00AF47E5">
      <w:pPr>
        <w:autoSpaceDE w:val="0"/>
        <w:autoSpaceDN w:val="0"/>
        <w:adjustRightInd w:val="0"/>
        <w:ind w:right="-93"/>
        <w:jc w:val="both"/>
        <w:rPr>
          <w:rFonts w:ascii="Arial" w:eastAsia="Calibri" w:hAnsi="Arial" w:cs="Arial"/>
          <w:sz w:val="22"/>
          <w:szCs w:val="22"/>
          <w:lang w:val="es-CL" w:eastAsia="es-CL"/>
        </w:rPr>
      </w:pPr>
      <w:r w:rsidRPr="00252C1F">
        <w:rPr>
          <w:rFonts w:ascii="Arial" w:eastAsia="Calibri" w:hAnsi="Arial" w:cs="Arial"/>
          <w:sz w:val="22"/>
          <w:szCs w:val="22"/>
          <w:lang w:val="es-CL" w:eastAsia="es-CL"/>
        </w:rPr>
        <w:t>El artículo 3° transitorio de la Ley 20.469, establece las</w:t>
      </w:r>
      <w:r w:rsidR="002C1886" w:rsidRPr="00252C1F">
        <w:rPr>
          <w:rFonts w:ascii="Arial" w:eastAsia="Calibri" w:hAnsi="Arial" w:cs="Arial"/>
          <w:sz w:val="22"/>
          <w:szCs w:val="22"/>
          <w:lang w:val="es-CL" w:eastAsia="es-CL"/>
        </w:rPr>
        <w:t xml:space="preserve"> siguientes</w:t>
      </w:r>
      <w:r w:rsidR="006C440D" w:rsidRPr="00252C1F">
        <w:rPr>
          <w:rFonts w:ascii="Arial" w:eastAsia="Calibri" w:hAnsi="Arial" w:cs="Arial"/>
          <w:sz w:val="22"/>
          <w:szCs w:val="22"/>
          <w:lang w:val="es-CL" w:eastAsia="es-CL"/>
        </w:rPr>
        <w:t xml:space="preserve"> modificaciones</w:t>
      </w:r>
      <w:r w:rsidRPr="00252C1F">
        <w:rPr>
          <w:rFonts w:ascii="Arial" w:eastAsia="Calibri" w:hAnsi="Arial" w:cs="Arial"/>
          <w:sz w:val="22"/>
          <w:szCs w:val="22"/>
          <w:lang w:val="es-CL" w:eastAsia="es-CL"/>
        </w:rPr>
        <w:t xml:space="preserve"> a las normas señaladas en el número </w:t>
      </w:r>
      <w:r w:rsidRPr="00881268">
        <w:rPr>
          <w:rFonts w:ascii="Arial" w:eastAsia="Calibri" w:hAnsi="Arial" w:cs="Arial"/>
          <w:b/>
          <w:sz w:val="22"/>
          <w:szCs w:val="22"/>
          <w:lang w:val="es-CL" w:eastAsia="es-CL"/>
        </w:rPr>
        <w:t>(3.2</w:t>
      </w:r>
      <w:r w:rsidR="00881268">
        <w:rPr>
          <w:rFonts w:ascii="Arial" w:eastAsia="Calibri" w:hAnsi="Arial" w:cs="Arial"/>
          <w:b/>
          <w:sz w:val="22"/>
          <w:szCs w:val="22"/>
          <w:lang w:val="es-CL" w:eastAsia="es-CL"/>
        </w:rPr>
        <w:t>.</w:t>
      </w:r>
      <w:r w:rsidRPr="00881268">
        <w:rPr>
          <w:rFonts w:ascii="Arial" w:eastAsia="Calibri" w:hAnsi="Arial" w:cs="Arial"/>
          <w:b/>
          <w:sz w:val="22"/>
          <w:szCs w:val="22"/>
          <w:lang w:val="es-CL" w:eastAsia="es-CL"/>
        </w:rPr>
        <w:t>)</w:t>
      </w:r>
      <w:r w:rsidRPr="00252C1F">
        <w:rPr>
          <w:rFonts w:ascii="Arial" w:eastAsia="Calibri" w:hAnsi="Arial" w:cs="Arial"/>
          <w:sz w:val="22"/>
          <w:szCs w:val="22"/>
          <w:lang w:val="es-CL" w:eastAsia="es-CL"/>
        </w:rPr>
        <w:t xml:space="preserve"> precedente</w:t>
      </w:r>
      <w:r w:rsidR="00C634B4" w:rsidRPr="00252C1F">
        <w:rPr>
          <w:rFonts w:ascii="Arial" w:eastAsia="Calibri" w:hAnsi="Arial" w:cs="Arial"/>
          <w:sz w:val="22"/>
          <w:szCs w:val="22"/>
          <w:lang w:val="es-CL" w:eastAsia="es-CL"/>
        </w:rPr>
        <w:t>:</w:t>
      </w:r>
    </w:p>
    <w:p w:rsidR="00C634B4" w:rsidRPr="00252C1F" w:rsidRDefault="00C634B4" w:rsidP="00AF47E5">
      <w:pPr>
        <w:autoSpaceDE w:val="0"/>
        <w:autoSpaceDN w:val="0"/>
        <w:adjustRightInd w:val="0"/>
        <w:ind w:right="-93"/>
        <w:jc w:val="both"/>
        <w:rPr>
          <w:rFonts w:ascii="Arial" w:eastAsia="Calibri" w:hAnsi="Arial" w:cs="Arial"/>
          <w:sz w:val="22"/>
          <w:szCs w:val="22"/>
          <w:lang w:val="es-CL" w:eastAsia="es-CL"/>
        </w:rPr>
      </w:pPr>
    </w:p>
    <w:p w:rsidR="00C634B4" w:rsidRPr="00252C1F" w:rsidRDefault="006C440D" w:rsidP="00D45333">
      <w:pPr>
        <w:numPr>
          <w:ilvl w:val="0"/>
          <w:numId w:val="35"/>
        </w:numPr>
        <w:autoSpaceDE w:val="0"/>
        <w:autoSpaceDN w:val="0"/>
        <w:adjustRightInd w:val="0"/>
        <w:ind w:left="0" w:right="-93" w:firstLine="360"/>
        <w:jc w:val="both"/>
        <w:rPr>
          <w:rFonts w:ascii="Arial" w:eastAsia="Calibri" w:hAnsi="Arial" w:cs="Arial"/>
          <w:sz w:val="22"/>
          <w:szCs w:val="22"/>
          <w:lang w:val="es-CL" w:eastAsia="es-CL"/>
        </w:rPr>
      </w:pPr>
      <w:r w:rsidRPr="00252C1F">
        <w:rPr>
          <w:rFonts w:ascii="Arial" w:eastAsia="Calibri" w:hAnsi="Arial" w:cs="Arial"/>
          <w:sz w:val="22"/>
          <w:szCs w:val="22"/>
          <w:lang w:val="es-CL" w:eastAsia="es-CL"/>
        </w:rPr>
        <w:t>La solicitud respectiva deberá indicar la voluntad de sustituir el régimen de</w:t>
      </w:r>
      <w:r w:rsidR="002C1886" w:rsidRPr="00252C1F">
        <w:rPr>
          <w:rFonts w:ascii="Arial" w:eastAsia="Calibri" w:hAnsi="Arial" w:cs="Arial"/>
          <w:sz w:val="22"/>
          <w:szCs w:val="22"/>
          <w:lang w:val="es-CL" w:eastAsia="es-CL"/>
        </w:rPr>
        <w:t xml:space="preserve"> </w:t>
      </w:r>
      <w:r w:rsidRPr="00252C1F">
        <w:rPr>
          <w:rFonts w:ascii="Arial" w:eastAsia="Calibri" w:hAnsi="Arial" w:cs="Arial"/>
          <w:sz w:val="22"/>
          <w:szCs w:val="22"/>
          <w:lang w:val="es-CL" w:eastAsia="es-CL"/>
        </w:rPr>
        <w:t xml:space="preserve">invariabilidad de que gozan, por el del artículo 11 ter del </w:t>
      </w:r>
      <w:r w:rsidR="00B02253" w:rsidRPr="00252C1F">
        <w:rPr>
          <w:rFonts w:ascii="Arial" w:eastAsia="Calibri" w:hAnsi="Arial" w:cs="Arial"/>
          <w:sz w:val="22"/>
          <w:szCs w:val="22"/>
          <w:lang w:val="es-CL" w:eastAsia="es-CL"/>
        </w:rPr>
        <w:t>DL</w:t>
      </w:r>
      <w:r w:rsidRPr="00252C1F">
        <w:rPr>
          <w:rFonts w:ascii="Arial" w:eastAsia="Calibri" w:hAnsi="Arial" w:cs="Arial"/>
          <w:sz w:val="22"/>
          <w:szCs w:val="22"/>
          <w:lang w:val="es-CL" w:eastAsia="es-CL"/>
        </w:rPr>
        <w:t xml:space="preserve"> 600, de 1974,</w:t>
      </w:r>
      <w:r w:rsidR="002C1886" w:rsidRPr="00252C1F">
        <w:rPr>
          <w:rFonts w:ascii="Arial" w:eastAsia="Calibri" w:hAnsi="Arial" w:cs="Arial"/>
          <w:sz w:val="22"/>
          <w:szCs w:val="22"/>
          <w:lang w:val="es-CL" w:eastAsia="es-CL"/>
        </w:rPr>
        <w:t xml:space="preserve"> </w:t>
      </w:r>
      <w:r w:rsidRPr="00252C1F">
        <w:rPr>
          <w:rFonts w:ascii="Arial" w:eastAsia="Calibri" w:hAnsi="Arial" w:cs="Arial"/>
          <w:sz w:val="22"/>
          <w:szCs w:val="22"/>
          <w:lang w:val="es-CL" w:eastAsia="es-CL"/>
        </w:rPr>
        <w:t xml:space="preserve">modificado en los términos señalados en el artículo </w:t>
      </w:r>
      <w:r w:rsidR="00283080" w:rsidRPr="00252C1F">
        <w:rPr>
          <w:rFonts w:ascii="Arial" w:eastAsia="Calibri" w:hAnsi="Arial" w:cs="Arial"/>
          <w:sz w:val="22"/>
          <w:szCs w:val="22"/>
          <w:lang w:val="es-CL" w:eastAsia="es-CL"/>
        </w:rPr>
        <w:t>2° (permanente)</w:t>
      </w:r>
      <w:r w:rsidRPr="00252C1F">
        <w:rPr>
          <w:rFonts w:ascii="Arial" w:eastAsia="Calibri" w:hAnsi="Arial" w:cs="Arial"/>
          <w:sz w:val="22"/>
          <w:szCs w:val="22"/>
          <w:lang w:val="es-CL" w:eastAsia="es-CL"/>
        </w:rPr>
        <w:t xml:space="preserve"> </w:t>
      </w:r>
      <w:r w:rsidR="00283080" w:rsidRPr="00252C1F">
        <w:rPr>
          <w:rFonts w:ascii="Arial" w:eastAsia="Calibri" w:hAnsi="Arial" w:cs="Arial"/>
          <w:sz w:val="22"/>
          <w:szCs w:val="22"/>
          <w:lang w:val="es-CL" w:eastAsia="es-CL"/>
        </w:rPr>
        <w:t>de la L</w:t>
      </w:r>
      <w:r w:rsidRPr="00252C1F">
        <w:rPr>
          <w:rFonts w:ascii="Arial" w:eastAsia="Calibri" w:hAnsi="Arial" w:cs="Arial"/>
          <w:sz w:val="22"/>
          <w:szCs w:val="22"/>
          <w:lang w:val="es-CL" w:eastAsia="es-CL"/>
        </w:rPr>
        <w:t>ey</w:t>
      </w:r>
      <w:r w:rsidR="00283080" w:rsidRPr="00252C1F">
        <w:rPr>
          <w:rFonts w:ascii="Arial" w:eastAsia="Calibri" w:hAnsi="Arial" w:cs="Arial"/>
          <w:sz w:val="22"/>
          <w:szCs w:val="22"/>
          <w:lang w:val="es-CL" w:eastAsia="es-CL"/>
        </w:rPr>
        <w:t xml:space="preserve"> 20.469</w:t>
      </w:r>
      <w:r w:rsidRPr="00252C1F">
        <w:rPr>
          <w:rFonts w:ascii="Arial" w:eastAsia="Calibri" w:hAnsi="Arial" w:cs="Arial"/>
          <w:sz w:val="22"/>
          <w:szCs w:val="22"/>
          <w:lang w:val="es-CL" w:eastAsia="es-CL"/>
        </w:rPr>
        <w:t>, sujeta a la</w:t>
      </w:r>
      <w:r w:rsidR="002C1886" w:rsidRPr="00252C1F">
        <w:rPr>
          <w:rFonts w:ascii="Arial" w:eastAsia="Calibri" w:hAnsi="Arial" w:cs="Arial"/>
          <w:sz w:val="22"/>
          <w:szCs w:val="22"/>
          <w:lang w:val="es-CL" w:eastAsia="es-CL"/>
        </w:rPr>
        <w:t xml:space="preserve"> </w:t>
      </w:r>
      <w:r w:rsidRPr="00252C1F">
        <w:rPr>
          <w:rFonts w:ascii="Arial" w:eastAsia="Calibri" w:hAnsi="Arial" w:cs="Arial"/>
          <w:sz w:val="22"/>
          <w:szCs w:val="22"/>
          <w:lang w:val="es-CL" w:eastAsia="es-CL"/>
        </w:rPr>
        <w:t>condición de celebrarse la modificación del contrato correspondiente.</w:t>
      </w:r>
      <w:r w:rsidR="00881268">
        <w:rPr>
          <w:rFonts w:ascii="Arial" w:eastAsia="Calibri" w:hAnsi="Arial" w:cs="Arial"/>
          <w:sz w:val="22"/>
          <w:szCs w:val="22"/>
          <w:lang w:val="es-CL" w:eastAsia="es-CL"/>
        </w:rPr>
        <w:t xml:space="preserve"> </w:t>
      </w:r>
      <w:r w:rsidR="00243D8F" w:rsidRPr="00252C1F">
        <w:rPr>
          <w:rFonts w:ascii="Arial" w:eastAsia="Calibri" w:hAnsi="Arial" w:cs="Arial"/>
          <w:sz w:val="22"/>
          <w:szCs w:val="22"/>
          <w:lang w:val="es-CL" w:eastAsia="es-CL"/>
        </w:rPr>
        <w:t>Por lo tanto</w:t>
      </w:r>
      <w:r w:rsidR="00657B23" w:rsidRPr="00252C1F">
        <w:rPr>
          <w:rFonts w:ascii="Arial" w:eastAsia="Calibri" w:hAnsi="Arial" w:cs="Arial"/>
          <w:sz w:val="22"/>
          <w:szCs w:val="22"/>
          <w:lang w:val="es-CL" w:eastAsia="es-CL"/>
        </w:rPr>
        <w:t>,</w:t>
      </w:r>
      <w:r w:rsidR="00243D8F" w:rsidRPr="00252C1F">
        <w:rPr>
          <w:rFonts w:ascii="Arial" w:eastAsia="Calibri" w:hAnsi="Arial" w:cs="Arial"/>
          <w:sz w:val="22"/>
          <w:szCs w:val="22"/>
          <w:lang w:val="es-CL" w:eastAsia="es-CL"/>
        </w:rPr>
        <w:t xml:space="preserve"> dichos contribuyentes</w:t>
      </w:r>
      <w:r w:rsidR="006F310A" w:rsidRPr="00252C1F">
        <w:rPr>
          <w:rFonts w:ascii="Arial" w:eastAsia="Calibri" w:hAnsi="Arial" w:cs="Arial"/>
          <w:sz w:val="22"/>
          <w:szCs w:val="22"/>
          <w:lang w:val="es-CL" w:eastAsia="es-CL"/>
        </w:rPr>
        <w:t xml:space="preserve">, en caso de celebrarse la modificación del contrato, </w:t>
      </w:r>
      <w:r w:rsidR="00243D8F" w:rsidRPr="00252C1F">
        <w:rPr>
          <w:rFonts w:ascii="Arial" w:eastAsia="Calibri" w:hAnsi="Arial" w:cs="Arial"/>
          <w:sz w:val="22"/>
          <w:szCs w:val="22"/>
          <w:lang w:val="es-CL" w:eastAsia="es-CL"/>
        </w:rPr>
        <w:t xml:space="preserve">se regirán por los artículos 64 bis y 64 </w:t>
      </w:r>
      <w:r w:rsidR="006F310A" w:rsidRPr="00252C1F">
        <w:rPr>
          <w:rFonts w:ascii="Arial" w:eastAsia="Calibri" w:hAnsi="Arial" w:cs="Arial"/>
          <w:sz w:val="22"/>
          <w:szCs w:val="22"/>
          <w:lang w:val="es-CL" w:eastAsia="es-CL"/>
        </w:rPr>
        <w:t xml:space="preserve">ter, </w:t>
      </w:r>
      <w:r w:rsidR="00243D8F" w:rsidRPr="00252C1F">
        <w:rPr>
          <w:rFonts w:ascii="Arial" w:eastAsia="Calibri" w:hAnsi="Arial" w:cs="Arial"/>
          <w:sz w:val="22"/>
          <w:szCs w:val="22"/>
          <w:lang w:val="es-CL" w:eastAsia="es-CL"/>
        </w:rPr>
        <w:t>de la LIR</w:t>
      </w:r>
      <w:r w:rsidR="009D3AE4">
        <w:rPr>
          <w:rFonts w:ascii="Arial" w:eastAsia="Calibri" w:hAnsi="Arial" w:cs="Arial"/>
          <w:sz w:val="22"/>
          <w:szCs w:val="22"/>
          <w:lang w:val="es-CL" w:eastAsia="es-CL"/>
        </w:rPr>
        <w:t>, ya comentadas anteriormente</w:t>
      </w:r>
      <w:r w:rsidR="00657B23" w:rsidRPr="00252C1F">
        <w:rPr>
          <w:rFonts w:ascii="Arial" w:eastAsia="Calibri" w:hAnsi="Arial" w:cs="Arial"/>
          <w:sz w:val="22"/>
          <w:szCs w:val="22"/>
          <w:lang w:val="es-CL" w:eastAsia="es-CL"/>
        </w:rPr>
        <w:t xml:space="preserve">.  </w:t>
      </w:r>
    </w:p>
    <w:p w:rsidR="003B0800" w:rsidRPr="00252C1F" w:rsidRDefault="003B0800" w:rsidP="00AF47E5">
      <w:pPr>
        <w:autoSpaceDE w:val="0"/>
        <w:autoSpaceDN w:val="0"/>
        <w:adjustRightInd w:val="0"/>
        <w:ind w:right="-93"/>
        <w:jc w:val="both"/>
        <w:rPr>
          <w:rFonts w:ascii="Arial" w:eastAsia="Calibri" w:hAnsi="Arial" w:cs="Arial"/>
          <w:sz w:val="22"/>
          <w:szCs w:val="22"/>
          <w:lang w:val="es-CL" w:eastAsia="es-CL"/>
        </w:rPr>
      </w:pPr>
    </w:p>
    <w:p w:rsidR="009F0642" w:rsidRDefault="006C440D" w:rsidP="00D45333">
      <w:pPr>
        <w:numPr>
          <w:ilvl w:val="0"/>
          <w:numId w:val="35"/>
        </w:numPr>
        <w:autoSpaceDE w:val="0"/>
        <w:autoSpaceDN w:val="0"/>
        <w:adjustRightInd w:val="0"/>
        <w:ind w:left="0" w:right="-93" w:firstLine="360"/>
        <w:jc w:val="both"/>
        <w:rPr>
          <w:rFonts w:ascii="Arial" w:eastAsia="Calibri" w:hAnsi="Arial" w:cs="Arial"/>
          <w:sz w:val="22"/>
          <w:szCs w:val="22"/>
          <w:lang w:val="es-CL" w:eastAsia="es-CL"/>
        </w:rPr>
      </w:pPr>
      <w:r w:rsidRPr="00252C1F">
        <w:rPr>
          <w:rFonts w:ascii="Arial" w:eastAsia="Calibri" w:hAnsi="Arial" w:cs="Arial"/>
          <w:sz w:val="22"/>
          <w:szCs w:val="22"/>
          <w:lang w:val="es-CL" w:eastAsia="es-CL"/>
        </w:rPr>
        <w:t>El plazo de los derechos de invariabilidad será el que resulte de considerar el</w:t>
      </w:r>
      <w:r w:rsidR="00283080" w:rsidRPr="00252C1F">
        <w:rPr>
          <w:rFonts w:ascii="Arial" w:eastAsia="Calibri" w:hAnsi="Arial" w:cs="Arial"/>
          <w:sz w:val="22"/>
          <w:szCs w:val="22"/>
          <w:lang w:val="es-CL" w:eastAsia="es-CL"/>
        </w:rPr>
        <w:t xml:space="preserve"> </w:t>
      </w:r>
      <w:r w:rsidRPr="00252C1F">
        <w:rPr>
          <w:rFonts w:ascii="Arial" w:eastAsia="Calibri" w:hAnsi="Arial" w:cs="Arial"/>
          <w:sz w:val="22"/>
          <w:szCs w:val="22"/>
          <w:lang w:val="es-CL" w:eastAsia="es-CL"/>
        </w:rPr>
        <w:t>remanente del plazo del contrato que se modifica, sin perjuicio de la prórroga de</w:t>
      </w:r>
      <w:r w:rsidR="00283080" w:rsidRPr="00252C1F">
        <w:rPr>
          <w:rFonts w:ascii="Arial" w:eastAsia="Calibri" w:hAnsi="Arial" w:cs="Arial"/>
          <w:sz w:val="22"/>
          <w:szCs w:val="22"/>
          <w:lang w:val="es-CL" w:eastAsia="es-CL"/>
        </w:rPr>
        <w:t xml:space="preserve"> </w:t>
      </w:r>
      <w:r w:rsidRPr="00252C1F">
        <w:rPr>
          <w:rFonts w:ascii="Arial" w:eastAsia="Calibri" w:hAnsi="Arial" w:cs="Arial"/>
          <w:sz w:val="22"/>
          <w:szCs w:val="22"/>
          <w:lang w:val="es-CL" w:eastAsia="es-CL"/>
        </w:rPr>
        <w:t xml:space="preserve">invariabilidad aplicable, que se regirá de acuerdo a lo dispuesto en el inciso </w:t>
      </w:r>
      <w:r w:rsidR="00703E34" w:rsidRPr="00252C1F">
        <w:rPr>
          <w:rFonts w:ascii="Arial" w:eastAsia="Calibri" w:hAnsi="Arial" w:cs="Arial"/>
          <w:sz w:val="22"/>
          <w:szCs w:val="22"/>
          <w:lang w:val="es-CL" w:eastAsia="es-CL"/>
        </w:rPr>
        <w:t>4°,</w:t>
      </w:r>
      <w:r w:rsidRPr="00252C1F">
        <w:rPr>
          <w:rFonts w:ascii="Arial" w:eastAsia="Calibri" w:hAnsi="Arial" w:cs="Arial"/>
          <w:sz w:val="22"/>
          <w:szCs w:val="22"/>
          <w:lang w:val="es-CL" w:eastAsia="es-CL"/>
        </w:rPr>
        <w:t xml:space="preserve"> del</w:t>
      </w:r>
      <w:r w:rsidR="00283080" w:rsidRPr="00252C1F">
        <w:rPr>
          <w:rFonts w:ascii="Arial" w:eastAsia="Calibri" w:hAnsi="Arial" w:cs="Arial"/>
          <w:sz w:val="22"/>
          <w:szCs w:val="22"/>
          <w:lang w:val="es-CL" w:eastAsia="es-CL"/>
        </w:rPr>
        <w:t xml:space="preserve"> </w:t>
      </w:r>
      <w:r w:rsidRPr="00252C1F">
        <w:rPr>
          <w:rFonts w:ascii="Arial" w:eastAsia="Calibri" w:hAnsi="Arial" w:cs="Arial"/>
          <w:sz w:val="22"/>
          <w:szCs w:val="22"/>
          <w:lang w:val="es-CL" w:eastAsia="es-CL"/>
        </w:rPr>
        <w:t xml:space="preserve">artículo </w:t>
      </w:r>
      <w:r w:rsidR="00283080" w:rsidRPr="00252C1F">
        <w:rPr>
          <w:rFonts w:ascii="Arial" w:eastAsia="Calibri" w:hAnsi="Arial" w:cs="Arial"/>
          <w:sz w:val="22"/>
          <w:szCs w:val="22"/>
          <w:lang w:val="es-CL" w:eastAsia="es-CL"/>
        </w:rPr>
        <w:t xml:space="preserve">2° </w:t>
      </w:r>
      <w:r w:rsidR="00097F88" w:rsidRPr="00252C1F">
        <w:rPr>
          <w:rFonts w:ascii="Arial" w:eastAsia="Calibri" w:hAnsi="Arial" w:cs="Arial"/>
          <w:sz w:val="22"/>
          <w:szCs w:val="22"/>
          <w:lang w:val="es-CL" w:eastAsia="es-CL"/>
        </w:rPr>
        <w:t>t</w:t>
      </w:r>
      <w:r w:rsidR="00283080" w:rsidRPr="00252C1F">
        <w:rPr>
          <w:rFonts w:ascii="Arial" w:eastAsia="Calibri" w:hAnsi="Arial" w:cs="Arial"/>
          <w:sz w:val="22"/>
          <w:szCs w:val="22"/>
          <w:lang w:val="es-CL" w:eastAsia="es-CL"/>
        </w:rPr>
        <w:t>ransitorio</w:t>
      </w:r>
      <w:r w:rsidR="00703E34" w:rsidRPr="00252C1F">
        <w:rPr>
          <w:rFonts w:ascii="Arial" w:eastAsia="Calibri" w:hAnsi="Arial" w:cs="Arial"/>
          <w:sz w:val="22"/>
          <w:szCs w:val="22"/>
          <w:lang w:val="es-CL" w:eastAsia="es-CL"/>
        </w:rPr>
        <w:t>,</w:t>
      </w:r>
      <w:r w:rsidR="00283080" w:rsidRPr="00252C1F">
        <w:rPr>
          <w:rFonts w:ascii="Arial" w:eastAsia="Calibri" w:hAnsi="Arial" w:cs="Arial"/>
          <w:sz w:val="22"/>
          <w:szCs w:val="22"/>
          <w:lang w:val="es-CL" w:eastAsia="es-CL"/>
        </w:rPr>
        <w:t xml:space="preserve"> de la Ley 20.469</w:t>
      </w:r>
      <w:r w:rsidRPr="00252C1F">
        <w:rPr>
          <w:rFonts w:ascii="Arial" w:eastAsia="Calibri" w:hAnsi="Arial" w:cs="Arial"/>
          <w:sz w:val="22"/>
          <w:szCs w:val="22"/>
          <w:lang w:val="es-CL" w:eastAsia="es-CL"/>
        </w:rPr>
        <w:t>.</w:t>
      </w:r>
      <w:r w:rsidR="00881268">
        <w:rPr>
          <w:rFonts w:ascii="Arial" w:eastAsia="Calibri" w:hAnsi="Arial" w:cs="Arial"/>
          <w:sz w:val="22"/>
          <w:szCs w:val="22"/>
          <w:lang w:val="es-CL" w:eastAsia="es-CL"/>
        </w:rPr>
        <w:t xml:space="preserve"> </w:t>
      </w:r>
      <w:r w:rsidR="009F0642" w:rsidRPr="00252C1F">
        <w:rPr>
          <w:rFonts w:ascii="Arial" w:eastAsia="Calibri" w:hAnsi="Arial" w:cs="Arial"/>
          <w:sz w:val="22"/>
          <w:szCs w:val="22"/>
          <w:lang w:val="es-CL" w:eastAsia="es-CL"/>
        </w:rPr>
        <w:t xml:space="preserve">En otras palabras, </w:t>
      </w:r>
      <w:r w:rsidR="00566F23" w:rsidRPr="00252C1F">
        <w:rPr>
          <w:rFonts w:ascii="Arial" w:eastAsia="Calibri" w:hAnsi="Arial" w:cs="Arial"/>
          <w:sz w:val="22"/>
          <w:szCs w:val="22"/>
          <w:lang w:val="es-CL" w:eastAsia="es-CL"/>
        </w:rPr>
        <w:t>para efectos de determinar el remanente del plazo de invariabilidad</w:t>
      </w:r>
      <w:r w:rsidR="009F0642" w:rsidRPr="00252C1F">
        <w:rPr>
          <w:rFonts w:ascii="Arial" w:eastAsia="Calibri" w:hAnsi="Arial" w:cs="Arial"/>
          <w:sz w:val="22"/>
          <w:szCs w:val="22"/>
          <w:lang w:val="es-CL" w:eastAsia="es-CL"/>
        </w:rPr>
        <w:t xml:space="preserve"> </w:t>
      </w:r>
      <w:r w:rsidR="00B90972" w:rsidRPr="00252C1F">
        <w:rPr>
          <w:rFonts w:ascii="Arial" w:eastAsia="Calibri" w:hAnsi="Arial" w:cs="Arial"/>
          <w:sz w:val="22"/>
          <w:szCs w:val="22"/>
          <w:lang w:val="es-CL" w:eastAsia="es-CL"/>
        </w:rPr>
        <w:t xml:space="preserve">que le corresponda al contribuyente que ejerza </w:t>
      </w:r>
      <w:r w:rsidR="009D3AE4">
        <w:rPr>
          <w:rFonts w:ascii="Arial" w:eastAsia="Calibri" w:hAnsi="Arial" w:cs="Arial"/>
          <w:sz w:val="22"/>
          <w:szCs w:val="22"/>
          <w:lang w:val="es-CL" w:eastAsia="es-CL"/>
        </w:rPr>
        <w:t>esta</w:t>
      </w:r>
      <w:r w:rsidR="00B90972" w:rsidRPr="00252C1F">
        <w:rPr>
          <w:rFonts w:ascii="Arial" w:eastAsia="Calibri" w:hAnsi="Arial" w:cs="Arial"/>
          <w:sz w:val="22"/>
          <w:szCs w:val="22"/>
          <w:lang w:val="es-CL" w:eastAsia="es-CL"/>
        </w:rPr>
        <w:t xml:space="preserve"> opción, </w:t>
      </w:r>
      <w:r w:rsidR="009F0642" w:rsidRPr="00252C1F">
        <w:rPr>
          <w:rFonts w:ascii="Arial" w:eastAsia="Calibri" w:hAnsi="Arial" w:cs="Arial"/>
          <w:sz w:val="22"/>
          <w:szCs w:val="22"/>
          <w:lang w:val="es-CL" w:eastAsia="es-CL"/>
        </w:rPr>
        <w:t xml:space="preserve">se deberá considerar el remanente del </w:t>
      </w:r>
      <w:r w:rsidR="00B90972" w:rsidRPr="00252C1F">
        <w:rPr>
          <w:rFonts w:ascii="Arial" w:eastAsia="Calibri" w:hAnsi="Arial" w:cs="Arial"/>
          <w:sz w:val="22"/>
          <w:szCs w:val="22"/>
          <w:lang w:val="es-CL" w:eastAsia="es-CL"/>
        </w:rPr>
        <w:t xml:space="preserve">plazo que </w:t>
      </w:r>
      <w:r w:rsidR="009F0642" w:rsidRPr="00252C1F">
        <w:rPr>
          <w:rFonts w:ascii="Arial" w:eastAsia="Calibri" w:hAnsi="Arial" w:cs="Arial"/>
          <w:sz w:val="22"/>
          <w:szCs w:val="22"/>
          <w:lang w:val="es-CL" w:eastAsia="es-CL"/>
        </w:rPr>
        <w:t>originalmente le haya correspond</w:t>
      </w:r>
      <w:r w:rsidR="001942A0" w:rsidRPr="00252C1F">
        <w:rPr>
          <w:rFonts w:ascii="Arial" w:eastAsia="Calibri" w:hAnsi="Arial" w:cs="Arial"/>
          <w:sz w:val="22"/>
          <w:szCs w:val="22"/>
          <w:lang w:val="es-CL" w:eastAsia="es-CL"/>
        </w:rPr>
        <w:t>ido</w:t>
      </w:r>
      <w:r w:rsidR="009F0642" w:rsidRPr="00252C1F">
        <w:rPr>
          <w:rFonts w:ascii="Arial" w:eastAsia="Calibri" w:hAnsi="Arial" w:cs="Arial"/>
          <w:sz w:val="22"/>
          <w:szCs w:val="22"/>
          <w:lang w:val="es-CL" w:eastAsia="es-CL"/>
        </w:rPr>
        <w:t xml:space="preserve">, esto es, </w:t>
      </w:r>
      <w:r w:rsidR="00703E34" w:rsidRPr="00252C1F">
        <w:rPr>
          <w:rFonts w:ascii="Arial" w:eastAsia="Calibri" w:hAnsi="Arial" w:cs="Arial"/>
          <w:sz w:val="22"/>
          <w:szCs w:val="22"/>
          <w:lang w:val="es-CL" w:eastAsia="es-CL"/>
        </w:rPr>
        <w:t>el remanente del p</w:t>
      </w:r>
      <w:r w:rsidR="00881268">
        <w:rPr>
          <w:rFonts w:ascii="Arial" w:eastAsia="Calibri" w:hAnsi="Arial" w:cs="Arial"/>
          <w:sz w:val="22"/>
          <w:szCs w:val="22"/>
          <w:lang w:val="es-CL" w:eastAsia="es-CL"/>
        </w:rPr>
        <w:t>l</w:t>
      </w:r>
      <w:r w:rsidR="00703E34" w:rsidRPr="00252C1F">
        <w:rPr>
          <w:rFonts w:ascii="Arial" w:eastAsia="Calibri" w:hAnsi="Arial" w:cs="Arial"/>
          <w:sz w:val="22"/>
          <w:szCs w:val="22"/>
          <w:lang w:val="es-CL" w:eastAsia="es-CL"/>
        </w:rPr>
        <w:t xml:space="preserve">azo </w:t>
      </w:r>
      <w:r w:rsidR="00B90972" w:rsidRPr="00252C1F">
        <w:rPr>
          <w:rFonts w:ascii="Arial" w:eastAsia="Calibri" w:hAnsi="Arial" w:cs="Arial"/>
          <w:sz w:val="22"/>
          <w:szCs w:val="22"/>
          <w:lang w:val="es-CL" w:eastAsia="es-CL"/>
        </w:rPr>
        <w:t xml:space="preserve">de </w:t>
      </w:r>
      <w:r w:rsidR="00566F23" w:rsidRPr="00252C1F">
        <w:rPr>
          <w:rFonts w:ascii="Arial" w:eastAsia="Calibri" w:hAnsi="Arial" w:cs="Arial"/>
          <w:sz w:val="22"/>
          <w:szCs w:val="22"/>
          <w:lang w:val="es-CL" w:eastAsia="es-CL"/>
        </w:rPr>
        <w:t>10 años</w:t>
      </w:r>
      <w:r w:rsidR="009F0642" w:rsidRPr="00252C1F">
        <w:rPr>
          <w:rFonts w:ascii="Arial" w:eastAsia="Calibri" w:hAnsi="Arial" w:cs="Arial"/>
          <w:sz w:val="22"/>
          <w:szCs w:val="22"/>
          <w:lang w:val="es-CL" w:eastAsia="es-CL"/>
        </w:rPr>
        <w:t>, e</w:t>
      </w:r>
      <w:r w:rsidR="00B90972" w:rsidRPr="00252C1F">
        <w:rPr>
          <w:rFonts w:ascii="Arial" w:eastAsia="Calibri" w:hAnsi="Arial" w:cs="Arial"/>
          <w:sz w:val="22"/>
          <w:szCs w:val="22"/>
          <w:lang w:val="es-CL" w:eastAsia="es-CL"/>
        </w:rPr>
        <w:t xml:space="preserve">n el caso del </w:t>
      </w:r>
      <w:r w:rsidR="00566F23" w:rsidRPr="00252C1F">
        <w:rPr>
          <w:rFonts w:ascii="Arial" w:eastAsia="Calibri" w:hAnsi="Arial" w:cs="Arial"/>
          <w:sz w:val="22"/>
          <w:szCs w:val="22"/>
          <w:lang w:val="es-CL" w:eastAsia="es-CL"/>
        </w:rPr>
        <w:t>art</w:t>
      </w:r>
      <w:r w:rsidR="00703E34" w:rsidRPr="00252C1F">
        <w:rPr>
          <w:rFonts w:ascii="Arial" w:eastAsia="Calibri" w:hAnsi="Arial" w:cs="Arial"/>
          <w:sz w:val="22"/>
          <w:szCs w:val="22"/>
          <w:lang w:val="es-CL" w:eastAsia="es-CL"/>
        </w:rPr>
        <w:t>ículo</w:t>
      </w:r>
      <w:r w:rsidR="00566F23" w:rsidRPr="00252C1F">
        <w:rPr>
          <w:rFonts w:ascii="Arial" w:eastAsia="Calibri" w:hAnsi="Arial" w:cs="Arial"/>
          <w:sz w:val="22"/>
          <w:szCs w:val="22"/>
          <w:lang w:val="es-CL" w:eastAsia="es-CL"/>
        </w:rPr>
        <w:t xml:space="preserve"> 7 del DL 600</w:t>
      </w:r>
      <w:r w:rsidR="009F0642" w:rsidRPr="00252C1F">
        <w:rPr>
          <w:rFonts w:ascii="Arial" w:eastAsia="Calibri" w:hAnsi="Arial" w:cs="Arial"/>
          <w:sz w:val="22"/>
          <w:szCs w:val="22"/>
          <w:lang w:val="es-CL" w:eastAsia="es-CL"/>
        </w:rPr>
        <w:t>,</w:t>
      </w:r>
      <w:r w:rsidR="00566F23" w:rsidRPr="00252C1F">
        <w:rPr>
          <w:rFonts w:ascii="Arial" w:eastAsia="Calibri" w:hAnsi="Arial" w:cs="Arial"/>
          <w:sz w:val="22"/>
          <w:szCs w:val="22"/>
          <w:lang w:val="es-CL" w:eastAsia="es-CL"/>
        </w:rPr>
        <w:t xml:space="preserve"> ó de </w:t>
      </w:r>
      <w:smartTag w:uri="urn:schemas-microsoft-com:office:smarttags" w:element="metricconverter">
        <w:smartTagPr>
          <w:attr w:name="ProductID" w:val="10 a"/>
        </w:smartTagPr>
        <w:r w:rsidR="00566F23" w:rsidRPr="00252C1F">
          <w:rPr>
            <w:rFonts w:ascii="Arial" w:eastAsia="Calibri" w:hAnsi="Arial" w:cs="Arial"/>
            <w:sz w:val="22"/>
            <w:szCs w:val="22"/>
            <w:lang w:val="es-CL" w:eastAsia="es-CL"/>
          </w:rPr>
          <w:t>10 a</w:t>
        </w:r>
      </w:smartTag>
      <w:r w:rsidR="00566F23" w:rsidRPr="00252C1F">
        <w:rPr>
          <w:rFonts w:ascii="Arial" w:eastAsia="Calibri" w:hAnsi="Arial" w:cs="Arial"/>
          <w:sz w:val="22"/>
          <w:szCs w:val="22"/>
          <w:lang w:val="es-CL" w:eastAsia="es-CL"/>
        </w:rPr>
        <w:t xml:space="preserve"> 20 años</w:t>
      </w:r>
      <w:r w:rsidR="001F4876" w:rsidRPr="00252C1F">
        <w:rPr>
          <w:rFonts w:ascii="Arial" w:eastAsia="Calibri" w:hAnsi="Arial" w:cs="Arial"/>
          <w:sz w:val="22"/>
          <w:szCs w:val="22"/>
          <w:lang w:val="es-CL" w:eastAsia="es-CL"/>
        </w:rPr>
        <w:t>, e</w:t>
      </w:r>
      <w:r w:rsidR="00B90972" w:rsidRPr="00252C1F">
        <w:rPr>
          <w:rFonts w:ascii="Arial" w:eastAsia="Calibri" w:hAnsi="Arial" w:cs="Arial"/>
          <w:sz w:val="22"/>
          <w:szCs w:val="22"/>
          <w:lang w:val="es-CL" w:eastAsia="es-CL"/>
        </w:rPr>
        <w:t>n el caso del a</w:t>
      </w:r>
      <w:r w:rsidR="00566F23" w:rsidRPr="00252C1F">
        <w:rPr>
          <w:rFonts w:ascii="Arial" w:eastAsia="Calibri" w:hAnsi="Arial" w:cs="Arial"/>
          <w:sz w:val="22"/>
          <w:szCs w:val="22"/>
          <w:lang w:val="es-CL" w:eastAsia="es-CL"/>
        </w:rPr>
        <w:t>rt</w:t>
      </w:r>
      <w:r w:rsidR="00B6562D" w:rsidRPr="00252C1F">
        <w:rPr>
          <w:rFonts w:ascii="Arial" w:eastAsia="Calibri" w:hAnsi="Arial" w:cs="Arial"/>
          <w:sz w:val="22"/>
          <w:szCs w:val="22"/>
          <w:lang w:val="es-CL" w:eastAsia="es-CL"/>
        </w:rPr>
        <w:t xml:space="preserve">ículo </w:t>
      </w:r>
      <w:r w:rsidR="00566F23" w:rsidRPr="00252C1F">
        <w:rPr>
          <w:rFonts w:ascii="Arial" w:eastAsia="Calibri" w:hAnsi="Arial" w:cs="Arial"/>
          <w:sz w:val="22"/>
          <w:szCs w:val="22"/>
          <w:lang w:val="es-CL" w:eastAsia="es-CL"/>
        </w:rPr>
        <w:t>11 bis</w:t>
      </w:r>
      <w:r w:rsidR="00B6562D" w:rsidRPr="00252C1F">
        <w:rPr>
          <w:rFonts w:ascii="Arial" w:eastAsia="Calibri" w:hAnsi="Arial" w:cs="Arial"/>
          <w:sz w:val="22"/>
          <w:szCs w:val="22"/>
          <w:lang w:val="es-CL" w:eastAsia="es-CL"/>
        </w:rPr>
        <w:t>,</w:t>
      </w:r>
      <w:r w:rsidR="00566F23" w:rsidRPr="00252C1F">
        <w:rPr>
          <w:rFonts w:ascii="Arial" w:eastAsia="Calibri" w:hAnsi="Arial" w:cs="Arial"/>
          <w:sz w:val="22"/>
          <w:szCs w:val="22"/>
          <w:lang w:val="es-CL" w:eastAsia="es-CL"/>
        </w:rPr>
        <w:t xml:space="preserve"> del</w:t>
      </w:r>
      <w:r w:rsidR="00B6562D" w:rsidRPr="00252C1F">
        <w:rPr>
          <w:rFonts w:ascii="Arial" w:eastAsia="Calibri" w:hAnsi="Arial" w:cs="Arial"/>
          <w:sz w:val="22"/>
          <w:szCs w:val="22"/>
          <w:lang w:val="es-CL" w:eastAsia="es-CL"/>
        </w:rPr>
        <w:t xml:space="preserve"> mismo texto legal</w:t>
      </w:r>
      <w:r w:rsidR="009F0642" w:rsidRPr="00252C1F">
        <w:rPr>
          <w:rFonts w:ascii="Arial" w:eastAsia="Calibri" w:hAnsi="Arial" w:cs="Arial"/>
          <w:sz w:val="22"/>
          <w:szCs w:val="22"/>
          <w:lang w:val="es-CL" w:eastAsia="es-CL"/>
        </w:rPr>
        <w:t>.</w:t>
      </w:r>
    </w:p>
    <w:p w:rsidR="009F0642" w:rsidRPr="00252C1F" w:rsidRDefault="009F0642" w:rsidP="00AF47E5">
      <w:pPr>
        <w:autoSpaceDE w:val="0"/>
        <w:autoSpaceDN w:val="0"/>
        <w:adjustRightInd w:val="0"/>
        <w:ind w:right="-93"/>
        <w:jc w:val="both"/>
        <w:rPr>
          <w:rFonts w:ascii="Arial" w:eastAsia="Calibri" w:hAnsi="Arial" w:cs="Arial"/>
          <w:sz w:val="22"/>
          <w:szCs w:val="22"/>
          <w:lang w:val="es-CL" w:eastAsia="es-CL"/>
        </w:rPr>
      </w:pPr>
    </w:p>
    <w:p w:rsidR="001F4876" w:rsidRDefault="009F0642" w:rsidP="00AF47E5">
      <w:pPr>
        <w:autoSpaceDE w:val="0"/>
        <w:autoSpaceDN w:val="0"/>
        <w:adjustRightInd w:val="0"/>
        <w:ind w:right="-93"/>
        <w:jc w:val="both"/>
        <w:rPr>
          <w:rFonts w:ascii="Arial" w:eastAsia="Calibri" w:hAnsi="Arial" w:cs="Arial"/>
          <w:sz w:val="22"/>
          <w:szCs w:val="22"/>
          <w:lang w:val="es-CL" w:eastAsia="es-CL"/>
        </w:rPr>
      </w:pPr>
      <w:r w:rsidRPr="00F81423">
        <w:rPr>
          <w:rFonts w:ascii="Arial" w:eastAsia="Calibri" w:hAnsi="Arial" w:cs="Arial"/>
          <w:sz w:val="22"/>
          <w:szCs w:val="22"/>
          <w:lang w:val="es-CL" w:eastAsia="es-CL"/>
        </w:rPr>
        <w:t xml:space="preserve">Así por ejemplo, </w:t>
      </w:r>
      <w:r w:rsidR="001F4876" w:rsidRPr="00F81423">
        <w:rPr>
          <w:rFonts w:ascii="Arial" w:eastAsia="Calibri" w:hAnsi="Arial" w:cs="Arial"/>
          <w:sz w:val="22"/>
          <w:szCs w:val="22"/>
          <w:lang w:val="es-CL" w:eastAsia="es-CL"/>
        </w:rPr>
        <w:t>si se pactó un plazo de invariabilidad de 10 años</w:t>
      </w:r>
      <w:r w:rsidR="00B6562D" w:rsidRPr="00F81423">
        <w:rPr>
          <w:rFonts w:ascii="Arial" w:eastAsia="Calibri" w:hAnsi="Arial" w:cs="Arial"/>
          <w:sz w:val="22"/>
          <w:szCs w:val="22"/>
          <w:lang w:val="es-CL" w:eastAsia="es-CL"/>
        </w:rPr>
        <w:t xml:space="preserve"> </w:t>
      </w:r>
      <w:r w:rsidR="00681031" w:rsidRPr="00F81423">
        <w:rPr>
          <w:rFonts w:ascii="Arial" w:eastAsia="Calibri" w:hAnsi="Arial" w:cs="Arial"/>
          <w:sz w:val="22"/>
          <w:szCs w:val="22"/>
          <w:lang w:val="es-CL" w:eastAsia="es-CL"/>
        </w:rPr>
        <w:t>y dicho plazo se cuenta a partir de</w:t>
      </w:r>
      <w:r w:rsidR="001F4876" w:rsidRPr="00F81423">
        <w:rPr>
          <w:rFonts w:ascii="Arial" w:eastAsia="Calibri" w:hAnsi="Arial" w:cs="Arial"/>
          <w:sz w:val="22"/>
          <w:szCs w:val="22"/>
          <w:lang w:val="es-CL" w:eastAsia="es-CL"/>
        </w:rPr>
        <w:t xml:space="preserve"> 200</w:t>
      </w:r>
      <w:r w:rsidR="00B6562D" w:rsidRPr="00F81423">
        <w:rPr>
          <w:rFonts w:ascii="Arial" w:eastAsia="Calibri" w:hAnsi="Arial" w:cs="Arial"/>
          <w:sz w:val="22"/>
          <w:szCs w:val="22"/>
          <w:lang w:val="es-CL" w:eastAsia="es-CL"/>
        </w:rPr>
        <w:t>4</w:t>
      </w:r>
      <w:r w:rsidR="00681031" w:rsidRPr="00F81423">
        <w:rPr>
          <w:rFonts w:ascii="Arial" w:eastAsia="Calibri" w:hAnsi="Arial" w:cs="Arial"/>
          <w:sz w:val="22"/>
          <w:szCs w:val="22"/>
          <w:lang w:val="es-CL" w:eastAsia="es-CL"/>
        </w:rPr>
        <w:t xml:space="preserve"> por haberse puesto en marcha la empresa respectiva en ese ejercicio</w:t>
      </w:r>
      <w:r w:rsidR="001F4876" w:rsidRPr="00F81423">
        <w:rPr>
          <w:rFonts w:ascii="Arial" w:eastAsia="Calibri" w:hAnsi="Arial" w:cs="Arial"/>
          <w:sz w:val="22"/>
          <w:szCs w:val="22"/>
          <w:lang w:val="es-CL" w:eastAsia="es-CL"/>
        </w:rPr>
        <w:t xml:space="preserve">, </w:t>
      </w:r>
      <w:r w:rsidR="00681031" w:rsidRPr="00F81423">
        <w:rPr>
          <w:rFonts w:ascii="Arial" w:eastAsia="Calibri" w:hAnsi="Arial" w:cs="Arial"/>
          <w:sz w:val="22"/>
          <w:szCs w:val="22"/>
          <w:lang w:val="es-CL" w:eastAsia="es-CL"/>
        </w:rPr>
        <w:t>este plazo de invariabilidad original vencería e</w:t>
      </w:r>
      <w:r w:rsidR="00B10FA5" w:rsidRPr="00F81423">
        <w:rPr>
          <w:rFonts w:ascii="Arial" w:eastAsia="Calibri" w:hAnsi="Arial" w:cs="Arial"/>
          <w:sz w:val="22"/>
          <w:szCs w:val="22"/>
          <w:lang w:val="es-CL" w:eastAsia="es-CL"/>
        </w:rPr>
        <w:t>n 2014</w:t>
      </w:r>
      <w:r w:rsidR="00681031" w:rsidRPr="00F81423">
        <w:rPr>
          <w:rFonts w:ascii="Arial" w:eastAsia="Calibri" w:hAnsi="Arial" w:cs="Arial"/>
          <w:sz w:val="22"/>
          <w:szCs w:val="22"/>
          <w:lang w:val="es-CL" w:eastAsia="es-CL"/>
        </w:rPr>
        <w:t xml:space="preserve">. </w:t>
      </w:r>
      <w:r w:rsidR="00BC012D" w:rsidRPr="00F81423">
        <w:rPr>
          <w:rFonts w:ascii="Arial" w:eastAsia="Calibri" w:hAnsi="Arial" w:cs="Arial"/>
          <w:sz w:val="22"/>
          <w:szCs w:val="22"/>
          <w:lang w:val="es-CL" w:eastAsia="es-CL"/>
        </w:rPr>
        <w:t>Si</w:t>
      </w:r>
      <w:r w:rsidR="000A3E1D" w:rsidRPr="00F81423">
        <w:rPr>
          <w:rFonts w:ascii="Arial" w:eastAsia="Calibri" w:hAnsi="Arial" w:cs="Arial"/>
          <w:sz w:val="22"/>
          <w:szCs w:val="22"/>
          <w:lang w:val="es-CL" w:eastAsia="es-CL"/>
        </w:rPr>
        <w:t>n embargo, si</w:t>
      </w:r>
      <w:r w:rsidR="00BC012D" w:rsidRPr="00F81423">
        <w:rPr>
          <w:rFonts w:ascii="Arial" w:eastAsia="Calibri" w:hAnsi="Arial" w:cs="Arial"/>
          <w:sz w:val="22"/>
          <w:szCs w:val="22"/>
          <w:lang w:val="es-CL" w:eastAsia="es-CL"/>
        </w:rPr>
        <w:t xml:space="preserve"> e</w:t>
      </w:r>
      <w:r w:rsidR="00CE7523" w:rsidRPr="00F81423">
        <w:rPr>
          <w:rFonts w:ascii="Arial" w:eastAsia="Calibri" w:hAnsi="Arial" w:cs="Arial"/>
          <w:sz w:val="22"/>
          <w:szCs w:val="22"/>
          <w:lang w:val="es-CL" w:eastAsia="es-CL"/>
        </w:rPr>
        <w:t xml:space="preserve">l contribuyente dentro del plazo que fija la Ley 20.469 opta por acogerse al régimen comentado, </w:t>
      </w:r>
      <w:r w:rsidR="00475E0E" w:rsidRPr="00F81423">
        <w:rPr>
          <w:rFonts w:ascii="Arial" w:eastAsia="Calibri" w:hAnsi="Arial" w:cs="Arial"/>
          <w:sz w:val="22"/>
          <w:szCs w:val="22"/>
          <w:lang w:val="es-CL" w:eastAsia="es-CL"/>
        </w:rPr>
        <w:t>la invariabilidad de su contrato original</w:t>
      </w:r>
      <w:r w:rsidR="00CE7523" w:rsidRPr="00F81423">
        <w:rPr>
          <w:rFonts w:ascii="Arial" w:eastAsia="Calibri" w:hAnsi="Arial" w:cs="Arial"/>
          <w:sz w:val="22"/>
          <w:szCs w:val="22"/>
          <w:lang w:val="es-CL" w:eastAsia="es-CL"/>
        </w:rPr>
        <w:t>, descontados los ejercicios 2010, 2011 y 2012,</w:t>
      </w:r>
      <w:r w:rsidR="00475E0E" w:rsidRPr="00F81423">
        <w:rPr>
          <w:rFonts w:ascii="Arial" w:eastAsia="Calibri" w:hAnsi="Arial" w:cs="Arial"/>
          <w:sz w:val="22"/>
          <w:szCs w:val="22"/>
          <w:lang w:val="es-CL" w:eastAsia="es-CL"/>
        </w:rPr>
        <w:t xml:space="preserve"> </w:t>
      </w:r>
      <w:r w:rsidR="005F57B7" w:rsidRPr="00F81423">
        <w:rPr>
          <w:rFonts w:ascii="Arial" w:eastAsia="Calibri" w:hAnsi="Arial" w:cs="Arial"/>
          <w:sz w:val="22"/>
          <w:szCs w:val="22"/>
          <w:lang w:val="es-CL" w:eastAsia="es-CL"/>
        </w:rPr>
        <w:t>ya se encuentra vencida a 2013,</w:t>
      </w:r>
      <w:r w:rsidR="001D49E8" w:rsidRPr="00F81423">
        <w:rPr>
          <w:rFonts w:ascii="Arial" w:eastAsia="Calibri" w:hAnsi="Arial" w:cs="Arial"/>
          <w:sz w:val="22"/>
          <w:szCs w:val="22"/>
          <w:lang w:val="es-CL" w:eastAsia="es-CL"/>
        </w:rPr>
        <w:t xml:space="preserve"> momento en que de acuerdo a lo dispuesto por el inciso 3° del artículo 2° transitorio de la Ley citada, corresponde determinar la existencia o no de tal remanente. Por lo anterior, en este caso al contribuyente n</w:t>
      </w:r>
      <w:r w:rsidR="005F57B7" w:rsidRPr="00F81423">
        <w:rPr>
          <w:rFonts w:ascii="Arial" w:eastAsia="Calibri" w:hAnsi="Arial" w:cs="Arial"/>
          <w:sz w:val="22"/>
          <w:szCs w:val="22"/>
          <w:lang w:val="es-CL" w:eastAsia="es-CL"/>
        </w:rPr>
        <w:t xml:space="preserve">o </w:t>
      </w:r>
      <w:r w:rsidR="001D49E8" w:rsidRPr="00F81423">
        <w:rPr>
          <w:rFonts w:ascii="Arial" w:eastAsia="Calibri" w:hAnsi="Arial" w:cs="Arial"/>
          <w:sz w:val="22"/>
          <w:szCs w:val="22"/>
          <w:lang w:val="es-CL" w:eastAsia="es-CL"/>
        </w:rPr>
        <w:t xml:space="preserve">le </w:t>
      </w:r>
      <w:r w:rsidR="005F57B7" w:rsidRPr="00F81423">
        <w:rPr>
          <w:rFonts w:ascii="Arial" w:eastAsia="Calibri" w:hAnsi="Arial" w:cs="Arial"/>
          <w:sz w:val="22"/>
          <w:szCs w:val="22"/>
          <w:lang w:val="es-CL" w:eastAsia="es-CL"/>
        </w:rPr>
        <w:t>queda remanente alguno</w:t>
      </w:r>
      <w:r w:rsidR="001D49E8" w:rsidRPr="00F81423">
        <w:rPr>
          <w:rFonts w:ascii="Arial" w:eastAsia="Calibri" w:hAnsi="Arial" w:cs="Arial"/>
          <w:sz w:val="22"/>
          <w:szCs w:val="22"/>
          <w:lang w:val="es-CL" w:eastAsia="es-CL"/>
        </w:rPr>
        <w:t xml:space="preserve"> de la invariabilidad original de 10 años</w:t>
      </w:r>
      <w:r w:rsidR="001D49E8" w:rsidRPr="00F81423">
        <w:rPr>
          <w:rStyle w:val="Refdenotaalpie"/>
          <w:rFonts w:ascii="Arial" w:eastAsia="Calibri" w:hAnsi="Arial" w:cs="Arial"/>
          <w:sz w:val="22"/>
          <w:szCs w:val="22"/>
          <w:lang w:val="es-CL" w:eastAsia="es-CL"/>
        </w:rPr>
        <w:footnoteReference w:id="19"/>
      </w:r>
      <w:r w:rsidR="00F81423" w:rsidRPr="00F81423">
        <w:rPr>
          <w:rFonts w:ascii="Arial" w:eastAsia="Calibri" w:hAnsi="Arial" w:cs="Arial"/>
          <w:sz w:val="22"/>
          <w:szCs w:val="22"/>
          <w:lang w:val="es-CL" w:eastAsia="es-CL"/>
        </w:rPr>
        <w:t>, de modo que</w:t>
      </w:r>
      <w:r w:rsidR="005F57B7" w:rsidRPr="00F81423">
        <w:rPr>
          <w:rFonts w:ascii="Arial" w:eastAsia="Calibri" w:hAnsi="Arial" w:cs="Arial"/>
          <w:sz w:val="22"/>
          <w:szCs w:val="22"/>
          <w:lang w:val="es-CL" w:eastAsia="es-CL"/>
        </w:rPr>
        <w:t xml:space="preserve"> a partir de 2013, comienza a regir la prór</w:t>
      </w:r>
      <w:r w:rsidR="00475E0E" w:rsidRPr="00F81423">
        <w:rPr>
          <w:rFonts w:ascii="Arial" w:eastAsia="Calibri" w:hAnsi="Arial" w:cs="Arial"/>
          <w:sz w:val="22"/>
          <w:szCs w:val="22"/>
          <w:lang w:val="es-CL" w:eastAsia="es-CL"/>
        </w:rPr>
        <w:t xml:space="preserve">roga de 6 </w:t>
      </w:r>
      <w:r w:rsidR="00BC012D" w:rsidRPr="00F81423">
        <w:rPr>
          <w:rFonts w:ascii="Arial" w:eastAsia="Calibri" w:hAnsi="Arial" w:cs="Arial"/>
          <w:sz w:val="22"/>
          <w:szCs w:val="22"/>
          <w:lang w:val="es-CL" w:eastAsia="es-CL"/>
        </w:rPr>
        <w:t xml:space="preserve">años ya </w:t>
      </w:r>
      <w:r w:rsidR="00F81423" w:rsidRPr="00F81423">
        <w:rPr>
          <w:rFonts w:ascii="Arial" w:eastAsia="Calibri" w:hAnsi="Arial" w:cs="Arial"/>
          <w:sz w:val="22"/>
          <w:szCs w:val="22"/>
          <w:lang w:val="es-CL" w:eastAsia="es-CL"/>
        </w:rPr>
        <w:t>comentada</w:t>
      </w:r>
      <w:r w:rsidR="00BC012D" w:rsidRPr="00F81423">
        <w:rPr>
          <w:rFonts w:ascii="Arial" w:eastAsia="Calibri" w:hAnsi="Arial" w:cs="Arial"/>
          <w:sz w:val="22"/>
          <w:szCs w:val="22"/>
          <w:lang w:val="es-CL" w:eastAsia="es-CL"/>
        </w:rPr>
        <w:t>. E</w:t>
      </w:r>
      <w:r w:rsidR="00475E0E" w:rsidRPr="00F81423">
        <w:rPr>
          <w:rFonts w:ascii="Arial" w:eastAsia="Calibri" w:hAnsi="Arial" w:cs="Arial"/>
          <w:sz w:val="22"/>
          <w:szCs w:val="22"/>
          <w:lang w:val="es-CL" w:eastAsia="es-CL"/>
        </w:rPr>
        <w:t>n definitiva</w:t>
      </w:r>
      <w:r w:rsidR="00BC012D" w:rsidRPr="00F81423">
        <w:rPr>
          <w:rFonts w:ascii="Arial" w:eastAsia="Calibri" w:hAnsi="Arial" w:cs="Arial"/>
          <w:sz w:val="22"/>
          <w:szCs w:val="22"/>
          <w:lang w:val="es-CL" w:eastAsia="es-CL"/>
        </w:rPr>
        <w:t>,</w:t>
      </w:r>
      <w:r w:rsidR="00475E0E" w:rsidRPr="00F81423">
        <w:rPr>
          <w:rFonts w:ascii="Arial" w:eastAsia="Calibri" w:hAnsi="Arial" w:cs="Arial"/>
          <w:sz w:val="22"/>
          <w:szCs w:val="22"/>
          <w:lang w:val="es-CL" w:eastAsia="es-CL"/>
        </w:rPr>
        <w:t xml:space="preserve"> su invariabilidad vencería en el</w:t>
      </w:r>
      <w:r w:rsidR="00C12506" w:rsidRPr="00F81423">
        <w:rPr>
          <w:rFonts w:ascii="Arial" w:eastAsia="Calibri" w:hAnsi="Arial" w:cs="Arial"/>
          <w:sz w:val="22"/>
          <w:szCs w:val="22"/>
          <w:lang w:val="es-CL" w:eastAsia="es-CL"/>
        </w:rPr>
        <w:t xml:space="preserve"> </w:t>
      </w:r>
      <w:r w:rsidR="00B10FA5" w:rsidRPr="00F81423">
        <w:rPr>
          <w:rFonts w:ascii="Arial" w:eastAsia="Calibri" w:hAnsi="Arial" w:cs="Arial"/>
          <w:sz w:val="22"/>
          <w:szCs w:val="22"/>
          <w:lang w:val="es-CL" w:eastAsia="es-CL"/>
        </w:rPr>
        <w:t>año 201</w:t>
      </w:r>
      <w:r w:rsidR="005F57B7" w:rsidRPr="00F81423">
        <w:rPr>
          <w:rFonts w:ascii="Arial" w:eastAsia="Calibri" w:hAnsi="Arial" w:cs="Arial"/>
          <w:sz w:val="22"/>
          <w:szCs w:val="22"/>
          <w:lang w:val="es-CL" w:eastAsia="es-CL"/>
        </w:rPr>
        <w:t>8</w:t>
      </w:r>
      <w:r w:rsidR="00475E0E" w:rsidRPr="00F81423">
        <w:rPr>
          <w:rFonts w:ascii="Arial" w:eastAsia="Calibri" w:hAnsi="Arial" w:cs="Arial"/>
          <w:sz w:val="22"/>
          <w:szCs w:val="22"/>
          <w:lang w:val="es-CL" w:eastAsia="es-CL"/>
        </w:rPr>
        <w:t xml:space="preserve">. </w:t>
      </w:r>
      <w:r w:rsidR="005F57B7" w:rsidRPr="00F81423">
        <w:rPr>
          <w:rFonts w:ascii="Arial" w:eastAsia="Calibri" w:hAnsi="Arial" w:cs="Arial"/>
          <w:sz w:val="22"/>
          <w:szCs w:val="22"/>
          <w:lang w:val="es-CL" w:eastAsia="es-CL"/>
        </w:rPr>
        <w:t>H</w:t>
      </w:r>
      <w:r w:rsidR="00475E0E" w:rsidRPr="00F81423">
        <w:rPr>
          <w:rFonts w:ascii="Arial" w:eastAsia="Calibri" w:hAnsi="Arial" w:cs="Arial"/>
          <w:sz w:val="22"/>
          <w:szCs w:val="22"/>
          <w:lang w:val="es-CL" w:eastAsia="es-CL"/>
        </w:rPr>
        <w:t>asta el vencimiento de la inva</w:t>
      </w:r>
      <w:r w:rsidR="00104B9E" w:rsidRPr="00F81423">
        <w:rPr>
          <w:rFonts w:ascii="Arial" w:eastAsia="Calibri" w:hAnsi="Arial" w:cs="Arial"/>
          <w:sz w:val="22"/>
          <w:szCs w:val="22"/>
          <w:lang w:val="es-CL" w:eastAsia="es-CL"/>
        </w:rPr>
        <w:t>riabilidad prorrogada, se regirá</w:t>
      </w:r>
      <w:r w:rsidR="00475E0E" w:rsidRPr="00F81423">
        <w:rPr>
          <w:rFonts w:ascii="Arial" w:eastAsia="Calibri" w:hAnsi="Arial" w:cs="Arial"/>
          <w:sz w:val="22"/>
          <w:szCs w:val="22"/>
          <w:lang w:val="es-CL" w:eastAsia="es-CL"/>
        </w:rPr>
        <w:t xml:space="preserve"> por lo dispuesto en los artículos 64</w:t>
      </w:r>
      <w:r w:rsidR="0033249D" w:rsidRPr="00F81423">
        <w:rPr>
          <w:rFonts w:ascii="Arial" w:eastAsia="Calibri" w:hAnsi="Arial" w:cs="Arial"/>
          <w:sz w:val="22"/>
          <w:szCs w:val="22"/>
          <w:lang w:val="es-CL" w:eastAsia="es-CL"/>
        </w:rPr>
        <w:t xml:space="preserve"> </w:t>
      </w:r>
      <w:r w:rsidR="00475E0E" w:rsidRPr="00F81423">
        <w:rPr>
          <w:rFonts w:ascii="Arial" w:eastAsia="Calibri" w:hAnsi="Arial" w:cs="Arial"/>
          <w:sz w:val="22"/>
          <w:szCs w:val="22"/>
          <w:lang w:val="es-CL" w:eastAsia="es-CL"/>
        </w:rPr>
        <w:t>bis y 64 ter de la LIR, de acuerdo con el texto fijado por la Ley 20.469.</w:t>
      </w:r>
      <w:r w:rsidR="005F12AE" w:rsidRPr="00252C1F" w:rsidDel="005F12AE">
        <w:rPr>
          <w:rFonts w:ascii="Arial" w:eastAsia="Calibri" w:hAnsi="Arial" w:cs="Arial"/>
          <w:sz w:val="22"/>
          <w:szCs w:val="22"/>
          <w:lang w:val="es-CL" w:eastAsia="es-CL"/>
        </w:rPr>
        <w:t xml:space="preserve"> </w:t>
      </w:r>
    </w:p>
    <w:p w:rsidR="00D724F2" w:rsidRDefault="00D724F2" w:rsidP="00AF47E5">
      <w:pPr>
        <w:autoSpaceDE w:val="0"/>
        <w:autoSpaceDN w:val="0"/>
        <w:adjustRightInd w:val="0"/>
        <w:ind w:right="-93"/>
        <w:jc w:val="both"/>
        <w:rPr>
          <w:rFonts w:ascii="Arial" w:eastAsia="Calibri" w:hAnsi="Arial" w:cs="Arial"/>
          <w:sz w:val="22"/>
          <w:szCs w:val="22"/>
          <w:lang w:val="es-CL" w:eastAsia="es-CL"/>
        </w:rPr>
      </w:pPr>
    </w:p>
    <w:p w:rsidR="00D724F2" w:rsidRPr="00252C1F" w:rsidRDefault="00D724F2" w:rsidP="00AF47E5">
      <w:pPr>
        <w:autoSpaceDE w:val="0"/>
        <w:autoSpaceDN w:val="0"/>
        <w:adjustRightInd w:val="0"/>
        <w:ind w:right="-93"/>
        <w:jc w:val="both"/>
        <w:rPr>
          <w:rFonts w:ascii="Arial" w:eastAsia="Calibri" w:hAnsi="Arial" w:cs="Arial"/>
          <w:sz w:val="22"/>
          <w:szCs w:val="22"/>
          <w:lang w:val="es-CL" w:eastAsia="es-CL"/>
        </w:rPr>
      </w:pPr>
      <w:r>
        <w:rPr>
          <w:rFonts w:ascii="Arial" w:eastAsia="Calibri" w:hAnsi="Arial" w:cs="Arial"/>
          <w:sz w:val="22"/>
          <w:szCs w:val="22"/>
          <w:lang w:val="es-CL" w:eastAsia="es-CL"/>
        </w:rPr>
        <w:t xml:space="preserve">En el caso de producirse un remanente del plazo original, </w:t>
      </w:r>
      <w:r w:rsidR="003D4D1C">
        <w:rPr>
          <w:rFonts w:ascii="Arial" w:eastAsia="Calibri" w:hAnsi="Arial" w:cs="Arial"/>
          <w:sz w:val="22"/>
          <w:szCs w:val="22"/>
          <w:lang w:val="es-CL" w:eastAsia="es-CL"/>
        </w:rPr>
        <w:t>el inciso 5° del citado artículo 3° transitorio dispone que a partir de 2013 y hasta el vencimiento de ese remanente, será aplicable el régimen que corresponda según el contrato respectivo, es decir, según el contrato suscrito originalmente conforme a lo dispuesto por el artículo 7 u 11 bis del DL 600. Vencido este plazo y por los per</w:t>
      </w:r>
      <w:r w:rsidR="00212980">
        <w:rPr>
          <w:rFonts w:ascii="Arial" w:eastAsia="Calibri" w:hAnsi="Arial" w:cs="Arial"/>
          <w:sz w:val="22"/>
          <w:szCs w:val="22"/>
          <w:lang w:val="es-CL" w:eastAsia="es-CL"/>
        </w:rPr>
        <w:t>íodos posteri</w:t>
      </w:r>
      <w:r w:rsidR="003D4D1C">
        <w:rPr>
          <w:rFonts w:ascii="Arial" w:eastAsia="Calibri" w:hAnsi="Arial" w:cs="Arial"/>
          <w:sz w:val="22"/>
          <w:szCs w:val="22"/>
          <w:lang w:val="es-CL" w:eastAsia="es-CL"/>
        </w:rPr>
        <w:t>o</w:t>
      </w:r>
      <w:r w:rsidR="00212980">
        <w:rPr>
          <w:rFonts w:ascii="Arial" w:eastAsia="Calibri" w:hAnsi="Arial" w:cs="Arial"/>
          <w:sz w:val="22"/>
          <w:szCs w:val="22"/>
          <w:lang w:val="es-CL" w:eastAsia="es-CL"/>
        </w:rPr>
        <w:t>r</w:t>
      </w:r>
      <w:r w:rsidR="003D4D1C">
        <w:rPr>
          <w:rFonts w:ascii="Arial" w:eastAsia="Calibri" w:hAnsi="Arial" w:cs="Arial"/>
          <w:sz w:val="22"/>
          <w:szCs w:val="22"/>
          <w:lang w:val="es-CL" w:eastAsia="es-CL"/>
        </w:rPr>
        <w:t xml:space="preserve">es en que se encuentre vigente la prórroga de 6 años señalada precedentemente </w:t>
      </w:r>
      <w:r w:rsidR="00212980">
        <w:rPr>
          <w:rFonts w:ascii="Arial" w:eastAsia="Calibri" w:hAnsi="Arial" w:cs="Arial"/>
          <w:sz w:val="22"/>
          <w:szCs w:val="22"/>
          <w:lang w:val="es-CL" w:eastAsia="es-CL"/>
        </w:rPr>
        <w:t>y h</w:t>
      </w:r>
      <w:r w:rsidR="00212980" w:rsidRPr="00F81423">
        <w:rPr>
          <w:rFonts w:ascii="Arial" w:eastAsia="Calibri" w:hAnsi="Arial" w:cs="Arial"/>
          <w:sz w:val="22"/>
          <w:szCs w:val="22"/>
          <w:lang w:val="es-CL" w:eastAsia="es-CL"/>
        </w:rPr>
        <w:t>asta el vencimiento de la invariabilidad prorrogada, se regirá por lo dispuesto en los artículos 64 bis y 64 ter de la LIR, de acuerdo con el texto fijado por la Ley 20.469.</w:t>
      </w:r>
      <w:r w:rsidR="00212980" w:rsidRPr="00252C1F" w:rsidDel="005F12AE">
        <w:rPr>
          <w:rFonts w:ascii="Arial" w:eastAsia="Calibri" w:hAnsi="Arial" w:cs="Arial"/>
          <w:sz w:val="22"/>
          <w:szCs w:val="22"/>
          <w:lang w:val="es-CL" w:eastAsia="es-CL"/>
        </w:rPr>
        <w:t xml:space="preserve"> </w:t>
      </w:r>
    </w:p>
    <w:p w:rsidR="00DB5CE5" w:rsidRPr="00252C1F" w:rsidRDefault="00DB5CE5" w:rsidP="00AF47E5">
      <w:pPr>
        <w:autoSpaceDE w:val="0"/>
        <w:autoSpaceDN w:val="0"/>
        <w:adjustRightInd w:val="0"/>
        <w:ind w:right="-93"/>
        <w:jc w:val="both"/>
        <w:rPr>
          <w:rFonts w:ascii="Arial" w:eastAsia="Calibri" w:hAnsi="Arial" w:cs="Arial"/>
          <w:b/>
          <w:sz w:val="22"/>
          <w:szCs w:val="22"/>
          <w:lang w:val="es-CL" w:eastAsia="es-CL"/>
        </w:rPr>
      </w:pPr>
    </w:p>
    <w:p w:rsidR="004403DF" w:rsidRDefault="004403DF" w:rsidP="00AF47E5">
      <w:pPr>
        <w:autoSpaceDE w:val="0"/>
        <w:autoSpaceDN w:val="0"/>
        <w:adjustRightInd w:val="0"/>
        <w:ind w:right="-93"/>
        <w:jc w:val="both"/>
        <w:rPr>
          <w:rFonts w:ascii="Arial" w:eastAsia="Calibri" w:hAnsi="Arial" w:cs="Arial"/>
          <w:b/>
          <w:sz w:val="22"/>
          <w:szCs w:val="22"/>
          <w:lang w:val="es-CL" w:eastAsia="es-CL"/>
        </w:rPr>
      </w:pPr>
    </w:p>
    <w:p w:rsidR="00B64A06" w:rsidRPr="00BC012D" w:rsidRDefault="00B64A06" w:rsidP="00AF47E5">
      <w:pPr>
        <w:autoSpaceDE w:val="0"/>
        <w:autoSpaceDN w:val="0"/>
        <w:adjustRightInd w:val="0"/>
        <w:ind w:right="-93"/>
        <w:jc w:val="both"/>
        <w:rPr>
          <w:rFonts w:ascii="Arial" w:eastAsia="Calibri" w:hAnsi="Arial" w:cs="Arial"/>
          <w:b/>
          <w:sz w:val="22"/>
          <w:szCs w:val="22"/>
          <w:lang w:val="es-CL" w:eastAsia="es-CL"/>
        </w:rPr>
      </w:pPr>
      <w:r w:rsidRPr="00BC012D">
        <w:rPr>
          <w:rFonts w:ascii="Arial" w:eastAsia="Calibri" w:hAnsi="Arial" w:cs="Arial"/>
          <w:b/>
          <w:sz w:val="22"/>
          <w:szCs w:val="22"/>
          <w:lang w:val="es-CL" w:eastAsia="es-CL"/>
        </w:rPr>
        <w:t>(4</w:t>
      </w:r>
      <w:r w:rsidR="002E73A0" w:rsidRPr="00BC012D">
        <w:rPr>
          <w:rFonts w:ascii="Arial" w:eastAsia="Calibri" w:hAnsi="Arial" w:cs="Arial"/>
          <w:b/>
          <w:sz w:val="22"/>
          <w:szCs w:val="22"/>
          <w:lang w:val="es-CL" w:eastAsia="es-CL"/>
        </w:rPr>
        <w:t xml:space="preserve">) </w:t>
      </w:r>
      <w:r w:rsidRPr="00BC012D">
        <w:rPr>
          <w:rFonts w:ascii="Arial" w:eastAsia="Calibri" w:hAnsi="Arial" w:cs="Arial"/>
          <w:b/>
          <w:sz w:val="22"/>
          <w:szCs w:val="22"/>
          <w:lang w:val="es-CL" w:eastAsia="es-CL"/>
        </w:rPr>
        <w:t xml:space="preserve">Proyectos </w:t>
      </w:r>
      <w:r w:rsidR="00D945F5" w:rsidRPr="00BC012D">
        <w:rPr>
          <w:rFonts w:ascii="Arial" w:eastAsia="Calibri" w:hAnsi="Arial" w:cs="Arial"/>
          <w:b/>
          <w:sz w:val="22"/>
          <w:szCs w:val="22"/>
          <w:lang w:val="es-CL" w:eastAsia="es-CL"/>
        </w:rPr>
        <w:t xml:space="preserve">Mineros </w:t>
      </w:r>
      <w:r w:rsidRPr="00BC012D">
        <w:rPr>
          <w:rFonts w:ascii="Arial" w:eastAsia="Calibri" w:hAnsi="Arial" w:cs="Arial"/>
          <w:b/>
          <w:sz w:val="22"/>
          <w:szCs w:val="22"/>
          <w:lang w:val="es-CL" w:eastAsia="es-CL"/>
        </w:rPr>
        <w:t>Conexos.</w:t>
      </w:r>
    </w:p>
    <w:p w:rsidR="00B64A06" w:rsidRPr="00252C1F" w:rsidRDefault="00B64A06" w:rsidP="00AF47E5">
      <w:pPr>
        <w:autoSpaceDE w:val="0"/>
        <w:autoSpaceDN w:val="0"/>
        <w:adjustRightInd w:val="0"/>
        <w:ind w:right="-93"/>
        <w:jc w:val="both"/>
        <w:rPr>
          <w:rFonts w:ascii="Arial" w:eastAsia="Calibri" w:hAnsi="Arial" w:cs="Arial"/>
          <w:b/>
          <w:sz w:val="22"/>
          <w:szCs w:val="22"/>
          <w:lang w:val="es-CL" w:eastAsia="es-CL"/>
        </w:rPr>
      </w:pPr>
    </w:p>
    <w:p w:rsidR="003E2A16" w:rsidRPr="00252C1F" w:rsidRDefault="00D945F5" w:rsidP="003E2A16">
      <w:pPr>
        <w:autoSpaceDE w:val="0"/>
        <w:autoSpaceDN w:val="0"/>
        <w:adjustRightInd w:val="0"/>
        <w:ind w:right="-93"/>
        <w:jc w:val="both"/>
        <w:rPr>
          <w:rFonts w:ascii="Arial" w:eastAsia="Calibri" w:hAnsi="Arial" w:cs="Arial"/>
          <w:sz w:val="22"/>
          <w:szCs w:val="22"/>
          <w:lang w:val="es-CL" w:eastAsia="es-CL"/>
        </w:rPr>
      </w:pPr>
      <w:r w:rsidRPr="00252C1F">
        <w:rPr>
          <w:rFonts w:ascii="Arial" w:eastAsia="Calibri" w:hAnsi="Arial" w:cs="Arial"/>
          <w:sz w:val="22"/>
          <w:szCs w:val="22"/>
          <w:lang w:val="es-CL" w:eastAsia="es-CL"/>
        </w:rPr>
        <w:t>De acuerdo a lo dispuesto en el inciso 6°, del artículo 3° transitorio, de la Ley 20.469, l</w:t>
      </w:r>
      <w:r w:rsidR="00EB6F27" w:rsidRPr="00252C1F">
        <w:rPr>
          <w:rFonts w:ascii="Arial" w:eastAsia="Calibri" w:hAnsi="Arial" w:cs="Arial"/>
          <w:sz w:val="22"/>
          <w:szCs w:val="22"/>
          <w:lang w:val="es-CL" w:eastAsia="es-CL"/>
        </w:rPr>
        <w:t xml:space="preserve">os inversionistas extranjeros que optaren por lo señalado en el artículo </w:t>
      </w:r>
      <w:r w:rsidR="00410AB5" w:rsidRPr="00252C1F">
        <w:rPr>
          <w:rFonts w:ascii="Arial" w:eastAsia="Calibri" w:hAnsi="Arial" w:cs="Arial"/>
          <w:sz w:val="22"/>
          <w:szCs w:val="22"/>
          <w:lang w:val="es-CL" w:eastAsia="es-CL"/>
        </w:rPr>
        <w:t>1°</w:t>
      </w:r>
      <w:r w:rsidR="00EB6F27" w:rsidRPr="00252C1F">
        <w:rPr>
          <w:rFonts w:ascii="Arial" w:eastAsia="Calibri" w:hAnsi="Arial" w:cs="Arial"/>
          <w:sz w:val="22"/>
          <w:szCs w:val="22"/>
          <w:lang w:val="es-CL" w:eastAsia="es-CL"/>
        </w:rPr>
        <w:t xml:space="preserve"> </w:t>
      </w:r>
      <w:r w:rsidR="00BC012D">
        <w:rPr>
          <w:rFonts w:ascii="Arial" w:eastAsia="Calibri" w:hAnsi="Arial" w:cs="Arial"/>
          <w:sz w:val="22"/>
          <w:szCs w:val="22"/>
          <w:lang w:val="es-CL" w:eastAsia="es-CL"/>
        </w:rPr>
        <w:t>t</w:t>
      </w:r>
      <w:r w:rsidR="00EB6F27" w:rsidRPr="00252C1F">
        <w:rPr>
          <w:rFonts w:ascii="Arial" w:eastAsia="Calibri" w:hAnsi="Arial" w:cs="Arial"/>
          <w:sz w:val="22"/>
          <w:szCs w:val="22"/>
          <w:lang w:val="es-CL" w:eastAsia="es-CL"/>
        </w:rPr>
        <w:t xml:space="preserve">ransitorio y en los incisos </w:t>
      </w:r>
      <w:r w:rsidR="007F1C8F">
        <w:rPr>
          <w:rFonts w:ascii="Arial" w:eastAsia="Calibri" w:hAnsi="Arial" w:cs="Arial"/>
          <w:sz w:val="22"/>
          <w:szCs w:val="22"/>
          <w:lang w:val="es-CL" w:eastAsia="es-CL"/>
        </w:rPr>
        <w:t>2</w:t>
      </w:r>
      <w:r w:rsidR="00A93C09" w:rsidRPr="00252C1F">
        <w:rPr>
          <w:rFonts w:ascii="Arial" w:eastAsia="Calibri" w:hAnsi="Arial" w:cs="Arial"/>
          <w:sz w:val="22"/>
          <w:szCs w:val="22"/>
          <w:lang w:val="es-CL" w:eastAsia="es-CL"/>
        </w:rPr>
        <w:t>° a</w:t>
      </w:r>
      <w:r w:rsidR="005C545D" w:rsidRPr="00252C1F">
        <w:rPr>
          <w:rFonts w:ascii="Arial" w:eastAsia="Calibri" w:hAnsi="Arial" w:cs="Arial"/>
          <w:sz w:val="22"/>
          <w:szCs w:val="22"/>
          <w:lang w:val="es-CL" w:eastAsia="es-CL"/>
        </w:rPr>
        <w:t>l</w:t>
      </w:r>
      <w:r w:rsidR="00A93C09" w:rsidRPr="00252C1F">
        <w:rPr>
          <w:rFonts w:ascii="Arial" w:eastAsia="Calibri" w:hAnsi="Arial" w:cs="Arial"/>
          <w:sz w:val="22"/>
          <w:szCs w:val="22"/>
          <w:lang w:val="es-CL" w:eastAsia="es-CL"/>
        </w:rPr>
        <w:t xml:space="preserve"> 5° del artículo 3° </w:t>
      </w:r>
      <w:r w:rsidR="00FD6B34" w:rsidRPr="00252C1F">
        <w:rPr>
          <w:rFonts w:ascii="Arial" w:eastAsia="Calibri" w:hAnsi="Arial" w:cs="Arial"/>
          <w:sz w:val="22"/>
          <w:szCs w:val="22"/>
          <w:lang w:val="es-CL" w:eastAsia="es-CL"/>
        </w:rPr>
        <w:t>t</w:t>
      </w:r>
      <w:r w:rsidR="00A93C09" w:rsidRPr="00252C1F">
        <w:rPr>
          <w:rFonts w:ascii="Arial" w:eastAsia="Calibri" w:hAnsi="Arial" w:cs="Arial"/>
          <w:sz w:val="22"/>
          <w:szCs w:val="22"/>
          <w:lang w:val="es-CL" w:eastAsia="es-CL"/>
        </w:rPr>
        <w:t>ransitorio</w:t>
      </w:r>
      <w:r w:rsidR="005E2E0B" w:rsidRPr="00252C1F">
        <w:rPr>
          <w:rFonts w:ascii="Arial" w:eastAsia="Calibri" w:hAnsi="Arial" w:cs="Arial"/>
          <w:sz w:val="22"/>
          <w:szCs w:val="22"/>
          <w:lang w:val="es-CL" w:eastAsia="es-CL"/>
        </w:rPr>
        <w:t>,</w:t>
      </w:r>
      <w:r w:rsidR="00A93C09" w:rsidRPr="00252C1F">
        <w:rPr>
          <w:rFonts w:ascii="Arial" w:eastAsia="Calibri" w:hAnsi="Arial" w:cs="Arial"/>
          <w:sz w:val="22"/>
          <w:szCs w:val="22"/>
          <w:lang w:val="es-CL" w:eastAsia="es-CL"/>
        </w:rPr>
        <w:t xml:space="preserve"> de </w:t>
      </w:r>
      <w:smartTag w:uri="urn:schemas-microsoft-com:office:smarttags" w:element="PersonName">
        <w:smartTagPr>
          <w:attr w:name="ProductID" w:val="la Ley"/>
        </w:smartTagPr>
        <w:r w:rsidR="00A93C09" w:rsidRPr="00252C1F">
          <w:rPr>
            <w:rFonts w:ascii="Arial" w:eastAsia="Calibri" w:hAnsi="Arial" w:cs="Arial"/>
            <w:sz w:val="22"/>
            <w:szCs w:val="22"/>
            <w:lang w:val="es-CL" w:eastAsia="es-CL"/>
          </w:rPr>
          <w:t>la Ley</w:t>
        </w:r>
      </w:smartTag>
      <w:r w:rsidR="00A93C09" w:rsidRPr="00252C1F">
        <w:rPr>
          <w:rFonts w:ascii="Arial" w:eastAsia="Calibri" w:hAnsi="Arial" w:cs="Arial"/>
          <w:sz w:val="22"/>
          <w:szCs w:val="22"/>
          <w:lang w:val="es-CL" w:eastAsia="es-CL"/>
        </w:rPr>
        <w:t xml:space="preserve"> 20.469</w:t>
      </w:r>
      <w:r w:rsidR="002A7434" w:rsidRPr="00252C1F">
        <w:rPr>
          <w:rFonts w:ascii="Arial" w:eastAsia="Calibri" w:hAnsi="Arial" w:cs="Arial"/>
          <w:sz w:val="22"/>
          <w:szCs w:val="22"/>
          <w:lang w:val="es-CL" w:eastAsia="es-CL"/>
        </w:rPr>
        <w:t>,</w:t>
      </w:r>
      <w:r w:rsidR="00A93C09" w:rsidRPr="00252C1F">
        <w:rPr>
          <w:rFonts w:ascii="Arial" w:eastAsia="Calibri" w:hAnsi="Arial" w:cs="Arial"/>
          <w:sz w:val="22"/>
          <w:szCs w:val="22"/>
          <w:lang w:val="es-CL" w:eastAsia="es-CL"/>
        </w:rPr>
        <w:t xml:space="preserve"> </w:t>
      </w:r>
      <w:r w:rsidR="00EB6F27" w:rsidRPr="00252C1F">
        <w:rPr>
          <w:rFonts w:ascii="Arial" w:eastAsia="Calibri" w:hAnsi="Arial" w:cs="Arial"/>
          <w:sz w:val="22"/>
          <w:szCs w:val="22"/>
          <w:lang w:val="es-CL" w:eastAsia="es-CL"/>
        </w:rPr>
        <w:t xml:space="preserve">tendrán derecho a que las respectivas empresas receptoras de la inversión puedan explotar otros proyectos mineros conexos, distintos a los actualmente individualizados en sus contratos, amparándolos en el </w:t>
      </w:r>
      <w:r w:rsidR="003E2A16" w:rsidRPr="00252C1F">
        <w:rPr>
          <w:rFonts w:ascii="Arial" w:eastAsia="Calibri" w:hAnsi="Arial" w:cs="Arial"/>
          <w:sz w:val="22"/>
          <w:szCs w:val="22"/>
          <w:lang w:val="es-CL" w:eastAsia="es-CL"/>
        </w:rPr>
        <w:t xml:space="preserve">respectivo </w:t>
      </w:r>
      <w:r w:rsidR="00EB6F27" w:rsidRPr="00252C1F">
        <w:rPr>
          <w:rFonts w:ascii="Arial" w:eastAsia="Calibri" w:hAnsi="Arial" w:cs="Arial"/>
          <w:sz w:val="22"/>
          <w:szCs w:val="22"/>
          <w:lang w:val="es-CL" w:eastAsia="es-CL"/>
        </w:rPr>
        <w:t xml:space="preserve">régimen de invariabilidad pactado. </w:t>
      </w:r>
      <w:r w:rsidR="003E2A16" w:rsidRPr="00252C1F">
        <w:rPr>
          <w:rFonts w:ascii="Arial" w:eastAsia="Calibri" w:hAnsi="Arial" w:cs="Arial"/>
          <w:sz w:val="22"/>
          <w:szCs w:val="22"/>
          <w:lang w:val="es-CL" w:eastAsia="es-CL"/>
        </w:rPr>
        <w:t>El mismo derecho tendrán las empresas con con</w:t>
      </w:r>
      <w:r w:rsidR="005C545D" w:rsidRPr="00252C1F">
        <w:rPr>
          <w:rFonts w:ascii="Arial" w:eastAsia="Calibri" w:hAnsi="Arial" w:cs="Arial"/>
          <w:sz w:val="22"/>
          <w:szCs w:val="22"/>
          <w:lang w:val="es-CL" w:eastAsia="es-CL"/>
        </w:rPr>
        <w:t>tratos</w:t>
      </w:r>
      <w:r w:rsidR="003E2A16" w:rsidRPr="00252C1F">
        <w:rPr>
          <w:rFonts w:ascii="Arial" w:eastAsia="Calibri" w:hAnsi="Arial" w:cs="Arial"/>
          <w:sz w:val="22"/>
          <w:szCs w:val="22"/>
          <w:lang w:val="es-CL" w:eastAsia="es-CL"/>
        </w:rPr>
        <w:t xml:space="preserve"> vigentes acogidos al artículo 5° transitorio de la </w:t>
      </w:r>
      <w:r w:rsidR="005C545D" w:rsidRPr="00252C1F">
        <w:rPr>
          <w:rFonts w:ascii="Arial" w:eastAsia="Calibri" w:hAnsi="Arial" w:cs="Arial"/>
          <w:sz w:val="22"/>
          <w:szCs w:val="22"/>
          <w:lang w:val="es-CL" w:eastAsia="es-CL"/>
        </w:rPr>
        <w:t>L</w:t>
      </w:r>
      <w:r w:rsidR="003E2A16" w:rsidRPr="00252C1F">
        <w:rPr>
          <w:rFonts w:ascii="Arial" w:eastAsia="Calibri" w:hAnsi="Arial" w:cs="Arial"/>
          <w:sz w:val="22"/>
          <w:szCs w:val="22"/>
          <w:lang w:val="es-CL" w:eastAsia="es-CL"/>
        </w:rPr>
        <w:t xml:space="preserve">ey 20.026. </w:t>
      </w:r>
    </w:p>
    <w:p w:rsidR="002A7434" w:rsidRPr="00252C1F" w:rsidRDefault="002A7434" w:rsidP="00EB6F27">
      <w:pPr>
        <w:autoSpaceDE w:val="0"/>
        <w:autoSpaceDN w:val="0"/>
        <w:adjustRightInd w:val="0"/>
        <w:ind w:right="-93"/>
        <w:jc w:val="both"/>
        <w:rPr>
          <w:rFonts w:ascii="Arial" w:eastAsia="Calibri" w:hAnsi="Arial" w:cs="Arial"/>
          <w:sz w:val="22"/>
          <w:szCs w:val="22"/>
          <w:lang w:val="es-CL" w:eastAsia="es-CL"/>
        </w:rPr>
      </w:pPr>
    </w:p>
    <w:p w:rsidR="004403DF" w:rsidRDefault="004403DF" w:rsidP="00EB6F27">
      <w:pPr>
        <w:autoSpaceDE w:val="0"/>
        <w:autoSpaceDN w:val="0"/>
        <w:adjustRightInd w:val="0"/>
        <w:ind w:right="-93"/>
        <w:jc w:val="both"/>
        <w:rPr>
          <w:rFonts w:ascii="Arial" w:eastAsia="Calibri" w:hAnsi="Arial" w:cs="Arial"/>
          <w:b/>
          <w:sz w:val="22"/>
          <w:szCs w:val="22"/>
          <w:lang w:val="es-CL" w:eastAsia="es-CL"/>
        </w:rPr>
      </w:pPr>
    </w:p>
    <w:p w:rsidR="0051266C" w:rsidRPr="00BC012D" w:rsidRDefault="0051266C" w:rsidP="00EB6F27">
      <w:pPr>
        <w:autoSpaceDE w:val="0"/>
        <w:autoSpaceDN w:val="0"/>
        <w:adjustRightInd w:val="0"/>
        <w:ind w:right="-93"/>
        <w:jc w:val="both"/>
        <w:rPr>
          <w:rFonts w:ascii="Arial" w:eastAsia="Calibri" w:hAnsi="Arial" w:cs="Arial"/>
          <w:b/>
          <w:sz w:val="22"/>
          <w:szCs w:val="22"/>
          <w:lang w:val="es-CL" w:eastAsia="es-CL"/>
        </w:rPr>
      </w:pPr>
      <w:r w:rsidRPr="00BC012D">
        <w:rPr>
          <w:rFonts w:ascii="Arial" w:eastAsia="Calibri" w:hAnsi="Arial" w:cs="Arial"/>
          <w:b/>
          <w:sz w:val="22"/>
          <w:szCs w:val="22"/>
          <w:lang w:val="es-CL" w:eastAsia="es-CL"/>
        </w:rPr>
        <w:t>(</w:t>
      </w:r>
      <w:r w:rsidR="00C85209" w:rsidRPr="00BC012D">
        <w:rPr>
          <w:rFonts w:ascii="Arial" w:eastAsia="Calibri" w:hAnsi="Arial" w:cs="Arial"/>
          <w:b/>
          <w:sz w:val="22"/>
          <w:szCs w:val="22"/>
          <w:lang w:val="es-CL" w:eastAsia="es-CL"/>
        </w:rPr>
        <w:t>4.1</w:t>
      </w:r>
      <w:r w:rsidR="006C1055">
        <w:rPr>
          <w:rFonts w:ascii="Arial" w:eastAsia="Calibri" w:hAnsi="Arial" w:cs="Arial"/>
          <w:b/>
          <w:sz w:val="22"/>
          <w:szCs w:val="22"/>
          <w:lang w:val="es-CL" w:eastAsia="es-CL"/>
        </w:rPr>
        <w:t>.</w:t>
      </w:r>
      <w:r w:rsidRPr="00BC012D">
        <w:rPr>
          <w:rFonts w:ascii="Arial" w:eastAsia="Calibri" w:hAnsi="Arial" w:cs="Arial"/>
          <w:b/>
          <w:sz w:val="22"/>
          <w:szCs w:val="22"/>
          <w:lang w:val="es-CL" w:eastAsia="es-CL"/>
        </w:rPr>
        <w:t>) Contribuyentes a los que se aplica esta disposición.</w:t>
      </w:r>
    </w:p>
    <w:p w:rsidR="0051266C" w:rsidRPr="00252C1F" w:rsidRDefault="0051266C" w:rsidP="00EB6F27">
      <w:pPr>
        <w:autoSpaceDE w:val="0"/>
        <w:autoSpaceDN w:val="0"/>
        <w:adjustRightInd w:val="0"/>
        <w:ind w:right="-93"/>
        <w:jc w:val="both"/>
        <w:rPr>
          <w:rFonts w:ascii="Arial" w:eastAsia="Calibri" w:hAnsi="Arial" w:cs="Arial"/>
          <w:sz w:val="22"/>
          <w:szCs w:val="22"/>
          <w:lang w:val="es-CL" w:eastAsia="es-CL"/>
        </w:rPr>
      </w:pPr>
    </w:p>
    <w:p w:rsidR="0051266C" w:rsidRPr="006C1055" w:rsidRDefault="0026115D" w:rsidP="00FA00DE">
      <w:pPr>
        <w:numPr>
          <w:ilvl w:val="0"/>
          <w:numId w:val="36"/>
        </w:numPr>
        <w:tabs>
          <w:tab w:val="left" w:pos="284"/>
        </w:tabs>
        <w:autoSpaceDE w:val="0"/>
        <w:autoSpaceDN w:val="0"/>
        <w:adjustRightInd w:val="0"/>
        <w:ind w:left="0" w:right="-93" w:firstLine="0"/>
        <w:jc w:val="both"/>
        <w:rPr>
          <w:rFonts w:ascii="Arial" w:eastAsia="Calibri" w:hAnsi="Arial" w:cs="Arial"/>
          <w:b/>
          <w:sz w:val="22"/>
          <w:szCs w:val="22"/>
          <w:lang w:val="es-CL" w:eastAsia="es-CL"/>
        </w:rPr>
      </w:pPr>
      <w:r w:rsidRPr="006C1055">
        <w:rPr>
          <w:rFonts w:ascii="Arial" w:eastAsia="Calibri" w:hAnsi="Arial" w:cs="Arial"/>
          <w:b/>
          <w:sz w:val="22"/>
          <w:szCs w:val="22"/>
          <w:lang w:val="es-CL" w:eastAsia="es-CL"/>
        </w:rPr>
        <w:t xml:space="preserve">Inversionistas extranjeros que optaren por lo </w:t>
      </w:r>
      <w:r w:rsidR="003465F6" w:rsidRPr="006C1055">
        <w:rPr>
          <w:rFonts w:ascii="Arial" w:eastAsia="Calibri" w:hAnsi="Arial" w:cs="Arial"/>
          <w:b/>
          <w:sz w:val="22"/>
          <w:szCs w:val="22"/>
          <w:lang w:val="es-CL" w:eastAsia="es-CL"/>
        </w:rPr>
        <w:t>dispuesto</w:t>
      </w:r>
      <w:r w:rsidRPr="006C1055">
        <w:rPr>
          <w:rFonts w:ascii="Arial" w:eastAsia="Calibri" w:hAnsi="Arial" w:cs="Arial"/>
          <w:b/>
          <w:sz w:val="22"/>
          <w:szCs w:val="22"/>
          <w:lang w:val="es-CL" w:eastAsia="es-CL"/>
        </w:rPr>
        <w:t xml:space="preserve"> en el artículo 1° </w:t>
      </w:r>
      <w:r w:rsidR="003465F6" w:rsidRPr="006C1055">
        <w:rPr>
          <w:rFonts w:ascii="Arial" w:eastAsia="Calibri" w:hAnsi="Arial" w:cs="Arial"/>
          <w:b/>
          <w:sz w:val="22"/>
          <w:szCs w:val="22"/>
          <w:lang w:val="es-CL" w:eastAsia="es-CL"/>
        </w:rPr>
        <w:t>t</w:t>
      </w:r>
      <w:r w:rsidRPr="006C1055">
        <w:rPr>
          <w:rFonts w:ascii="Arial" w:eastAsia="Calibri" w:hAnsi="Arial" w:cs="Arial"/>
          <w:b/>
          <w:sz w:val="22"/>
          <w:szCs w:val="22"/>
          <w:lang w:val="es-CL" w:eastAsia="es-CL"/>
        </w:rPr>
        <w:t xml:space="preserve">ransitorio de </w:t>
      </w:r>
      <w:smartTag w:uri="urn:schemas-microsoft-com:office:smarttags" w:element="PersonName">
        <w:smartTagPr>
          <w:attr w:name="ProductID" w:val="la Ley"/>
        </w:smartTagPr>
        <w:r w:rsidRPr="006C1055">
          <w:rPr>
            <w:rFonts w:ascii="Arial" w:eastAsia="Calibri" w:hAnsi="Arial" w:cs="Arial"/>
            <w:b/>
            <w:sz w:val="22"/>
            <w:szCs w:val="22"/>
            <w:lang w:val="es-CL" w:eastAsia="es-CL"/>
          </w:rPr>
          <w:t>la Ley</w:t>
        </w:r>
      </w:smartTag>
      <w:r w:rsidRPr="006C1055">
        <w:rPr>
          <w:rFonts w:ascii="Arial" w:eastAsia="Calibri" w:hAnsi="Arial" w:cs="Arial"/>
          <w:b/>
          <w:sz w:val="22"/>
          <w:szCs w:val="22"/>
          <w:lang w:val="es-CL" w:eastAsia="es-CL"/>
        </w:rPr>
        <w:t xml:space="preserve"> 20.469</w:t>
      </w:r>
      <w:r w:rsidR="003465F6" w:rsidRPr="006C1055">
        <w:rPr>
          <w:rFonts w:ascii="Arial" w:eastAsia="Calibri" w:hAnsi="Arial" w:cs="Arial"/>
          <w:b/>
          <w:sz w:val="22"/>
          <w:szCs w:val="22"/>
          <w:lang w:val="es-CL" w:eastAsia="es-CL"/>
        </w:rPr>
        <w:t>.</w:t>
      </w:r>
    </w:p>
    <w:p w:rsidR="0051266C" w:rsidRPr="00252C1F" w:rsidRDefault="0051266C" w:rsidP="00FA00DE">
      <w:pPr>
        <w:tabs>
          <w:tab w:val="left" w:pos="284"/>
        </w:tabs>
        <w:autoSpaceDE w:val="0"/>
        <w:autoSpaceDN w:val="0"/>
        <w:adjustRightInd w:val="0"/>
        <w:ind w:right="-93"/>
        <w:jc w:val="both"/>
        <w:rPr>
          <w:rFonts w:ascii="Arial" w:eastAsia="Calibri" w:hAnsi="Arial" w:cs="Arial"/>
          <w:sz w:val="22"/>
          <w:szCs w:val="22"/>
          <w:lang w:val="es-CL" w:eastAsia="es-CL"/>
        </w:rPr>
      </w:pPr>
    </w:p>
    <w:p w:rsidR="00616C1C" w:rsidRPr="00252C1F" w:rsidRDefault="00FA374B" w:rsidP="00FA00DE">
      <w:pPr>
        <w:tabs>
          <w:tab w:val="left" w:pos="284"/>
        </w:tabs>
        <w:autoSpaceDE w:val="0"/>
        <w:autoSpaceDN w:val="0"/>
        <w:adjustRightInd w:val="0"/>
        <w:ind w:right="-93"/>
        <w:jc w:val="both"/>
        <w:rPr>
          <w:rFonts w:ascii="Arial" w:eastAsia="Calibri" w:hAnsi="Arial" w:cs="Arial"/>
          <w:sz w:val="22"/>
          <w:szCs w:val="22"/>
          <w:lang w:val="es-CL" w:eastAsia="es-CL"/>
        </w:rPr>
      </w:pPr>
      <w:r w:rsidRPr="00252C1F">
        <w:rPr>
          <w:rFonts w:ascii="Arial" w:eastAsia="Calibri" w:hAnsi="Arial" w:cs="Arial"/>
          <w:sz w:val="22"/>
          <w:szCs w:val="22"/>
          <w:lang w:val="es-CL" w:eastAsia="es-CL"/>
        </w:rPr>
        <w:t>Se trata en primer término de</w:t>
      </w:r>
      <w:r w:rsidR="00902451" w:rsidRPr="00252C1F">
        <w:rPr>
          <w:rFonts w:ascii="Arial" w:eastAsia="Calibri" w:hAnsi="Arial" w:cs="Arial"/>
          <w:sz w:val="22"/>
          <w:szCs w:val="22"/>
          <w:lang w:val="es-CL" w:eastAsia="es-CL"/>
        </w:rPr>
        <w:t xml:space="preserve"> </w:t>
      </w:r>
      <w:r w:rsidR="0026115D" w:rsidRPr="00252C1F">
        <w:rPr>
          <w:rFonts w:ascii="Arial" w:eastAsia="Calibri" w:hAnsi="Arial" w:cs="Arial"/>
          <w:sz w:val="22"/>
          <w:szCs w:val="22"/>
          <w:lang w:val="es-CL" w:eastAsia="es-CL"/>
        </w:rPr>
        <w:t xml:space="preserve">inversionistas extranjeros que con anterioridad a la entrada en vigencia de </w:t>
      </w:r>
      <w:smartTag w:uri="urn:schemas-microsoft-com:office:smarttags" w:element="PersonName">
        <w:smartTagPr>
          <w:attr w:name="ProductID" w:val="la Ley"/>
        </w:smartTagPr>
        <w:r w:rsidR="00902451" w:rsidRPr="00252C1F">
          <w:rPr>
            <w:rFonts w:ascii="Arial" w:eastAsia="Calibri" w:hAnsi="Arial" w:cs="Arial"/>
            <w:sz w:val="22"/>
            <w:szCs w:val="22"/>
            <w:lang w:val="es-CL" w:eastAsia="es-CL"/>
          </w:rPr>
          <w:t>la</w:t>
        </w:r>
        <w:r w:rsidR="0026115D" w:rsidRPr="00252C1F">
          <w:rPr>
            <w:rFonts w:ascii="Arial" w:eastAsia="Calibri" w:hAnsi="Arial" w:cs="Arial"/>
            <w:sz w:val="22"/>
            <w:szCs w:val="22"/>
            <w:lang w:val="es-CL" w:eastAsia="es-CL"/>
          </w:rPr>
          <w:t xml:space="preserve"> </w:t>
        </w:r>
        <w:r w:rsidR="00902451" w:rsidRPr="00252C1F">
          <w:rPr>
            <w:rFonts w:ascii="Arial" w:eastAsia="Calibri" w:hAnsi="Arial" w:cs="Arial"/>
            <w:sz w:val="22"/>
            <w:szCs w:val="22"/>
            <w:lang w:val="es-CL" w:eastAsia="es-CL"/>
          </w:rPr>
          <w:t>L</w:t>
        </w:r>
        <w:r w:rsidR="0026115D" w:rsidRPr="00252C1F">
          <w:rPr>
            <w:rFonts w:ascii="Arial" w:eastAsia="Calibri" w:hAnsi="Arial" w:cs="Arial"/>
            <w:sz w:val="22"/>
            <w:szCs w:val="22"/>
            <w:lang w:val="es-CL" w:eastAsia="es-CL"/>
          </w:rPr>
          <w:t>ey</w:t>
        </w:r>
      </w:smartTag>
      <w:r w:rsidR="00902451" w:rsidRPr="00252C1F">
        <w:rPr>
          <w:rFonts w:ascii="Arial" w:eastAsia="Calibri" w:hAnsi="Arial" w:cs="Arial"/>
          <w:sz w:val="22"/>
          <w:szCs w:val="22"/>
          <w:lang w:val="es-CL" w:eastAsia="es-CL"/>
        </w:rPr>
        <w:t xml:space="preserve"> 20.469</w:t>
      </w:r>
      <w:r w:rsidR="0026115D" w:rsidRPr="00252C1F">
        <w:rPr>
          <w:rFonts w:ascii="Arial" w:eastAsia="Calibri" w:hAnsi="Arial" w:cs="Arial"/>
          <w:sz w:val="22"/>
          <w:szCs w:val="22"/>
          <w:lang w:val="es-CL" w:eastAsia="es-CL"/>
        </w:rPr>
        <w:t>, mantengan vigente un</w:t>
      </w:r>
      <w:r w:rsidR="00902451" w:rsidRPr="00252C1F">
        <w:rPr>
          <w:rFonts w:ascii="Arial" w:eastAsia="Calibri" w:hAnsi="Arial" w:cs="Arial"/>
          <w:sz w:val="22"/>
          <w:szCs w:val="22"/>
          <w:lang w:val="es-CL" w:eastAsia="es-CL"/>
        </w:rPr>
        <w:t xml:space="preserve"> </w:t>
      </w:r>
      <w:r w:rsidR="0026115D" w:rsidRPr="00252C1F">
        <w:rPr>
          <w:rFonts w:ascii="Arial" w:eastAsia="Calibri" w:hAnsi="Arial" w:cs="Arial"/>
          <w:sz w:val="22"/>
          <w:szCs w:val="22"/>
          <w:lang w:val="es-CL" w:eastAsia="es-CL"/>
        </w:rPr>
        <w:t>contrato de inversión extranjera suscrito con el Estado de Chile, conforme a lo dispuesto</w:t>
      </w:r>
      <w:r w:rsidR="00902451" w:rsidRPr="00252C1F">
        <w:rPr>
          <w:rFonts w:ascii="Arial" w:eastAsia="Calibri" w:hAnsi="Arial" w:cs="Arial"/>
          <w:sz w:val="22"/>
          <w:szCs w:val="22"/>
          <w:lang w:val="es-CL" w:eastAsia="es-CL"/>
        </w:rPr>
        <w:t xml:space="preserve"> </w:t>
      </w:r>
      <w:r w:rsidR="0026115D" w:rsidRPr="00252C1F">
        <w:rPr>
          <w:rFonts w:ascii="Arial" w:eastAsia="Calibri" w:hAnsi="Arial" w:cs="Arial"/>
          <w:sz w:val="22"/>
          <w:szCs w:val="22"/>
          <w:lang w:val="es-CL" w:eastAsia="es-CL"/>
        </w:rPr>
        <w:t>en el artículo 11 ter</w:t>
      </w:r>
      <w:r w:rsidR="005E2E0B" w:rsidRPr="00252C1F">
        <w:rPr>
          <w:rFonts w:ascii="Arial" w:eastAsia="Calibri" w:hAnsi="Arial" w:cs="Arial"/>
          <w:sz w:val="22"/>
          <w:szCs w:val="22"/>
          <w:lang w:val="es-CL" w:eastAsia="es-CL"/>
        </w:rPr>
        <w:t>,</w:t>
      </w:r>
      <w:r w:rsidR="0026115D" w:rsidRPr="00252C1F">
        <w:rPr>
          <w:rFonts w:ascii="Arial" w:eastAsia="Calibri" w:hAnsi="Arial" w:cs="Arial"/>
          <w:sz w:val="22"/>
          <w:szCs w:val="22"/>
          <w:lang w:val="es-CL" w:eastAsia="es-CL"/>
        </w:rPr>
        <w:t xml:space="preserve"> del </w:t>
      </w:r>
      <w:r w:rsidR="005E2E0B" w:rsidRPr="00252C1F">
        <w:rPr>
          <w:rFonts w:ascii="Arial" w:eastAsia="Calibri" w:hAnsi="Arial" w:cs="Arial"/>
          <w:sz w:val="22"/>
          <w:szCs w:val="22"/>
          <w:lang w:val="es-CL" w:eastAsia="es-CL"/>
        </w:rPr>
        <w:t>DL</w:t>
      </w:r>
      <w:r w:rsidR="0026115D" w:rsidRPr="00252C1F">
        <w:rPr>
          <w:rFonts w:ascii="Arial" w:eastAsia="Calibri" w:hAnsi="Arial" w:cs="Arial"/>
          <w:sz w:val="22"/>
          <w:szCs w:val="22"/>
          <w:lang w:val="es-CL" w:eastAsia="es-CL"/>
        </w:rPr>
        <w:t xml:space="preserve"> 600, de 1974, </w:t>
      </w:r>
      <w:r w:rsidR="00902451" w:rsidRPr="00252C1F">
        <w:rPr>
          <w:rFonts w:ascii="Arial" w:eastAsia="Calibri" w:hAnsi="Arial" w:cs="Arial"/>
          <w:sz w:val="22"/>
          <w:szCs w:val="22"/>
          <w:lang w:val="es-CL" w:eastAsia="es-CL"/>
        </w:rPr>
        <w:t xml:space="preserve">que hayan </w:t>
      </w:r>
      <w:r w:rsidR="0026115D" w:rsidRPr="00252C1F">
        <w:rPr>
          <w:rFonts w:ascii="Arial" w:eastAsia="Calibri" w:hAnsi="Arial" w:cs="Arial"/>
          <w:sz w:val="22"/>
          <w:szCs w:val="22"/>
          <w:lang w:val="es-CL" w:eastAsia="es-CL"/>
        </w:rPr>
        <w:t>opta</w:t>
      </w:r>
      <w:r w:rsidR="00902451" w:rsidRPr="00252C1F">
        <w:rPr>
          <w:rFonts w:ascii="Arial" w:eastAsia="Calibri" w:hAnsi="Arial" w:cs="Arial"/>
          <w:sz w:val="22"/>
          <w:szCs w:val="22"/>
          <w:lang w:val="es-CL" w:eastAsia="es-CL"/>
        </w:rPr>
        <w:t>do</w:t>
      </w:r>
      <w:r w:rsidR="0026115D" w:rsidRPr="00252C1F">
        <w:rPr>
          <w:rFonts w:ascii="Arial" w:eastAsia="Calibri" w:hAnsi="Arial" w:cs="Arial"/>
          <w:sz w:val="22"/>
          <w:szCs w:val="22"/>
          <w:lang w:val="es-CL" w:eastAsia="es-CL"/>
        </w:rPr>
        <w:t xml:space="preserve"> por la aplicación</w:t>
      </w:r>
      <w:r w:rsidR="00902451" w:rsidRPr="00252C1F">
        <w:rPr>
          <w:rFonts w:ascii="Arial" w:eastAsia="Calibri" w:hAnsi="Arial" w:cs="Arial"/>
          <w:sz w:val="22"/>
          <w:szCs w:val="22"/>
          <w:lang w:val="es-CL" w:eastAsia="es-CL"/>
        </w:rPr>
        <w:t xml:space="preserve"> </w:t>
      </w:r>
      <w:r w:rsidR="0026115D" w:rsidRPr="00252C1F">
        <w:rPr>
          <w:rFonts w:ascii="Arial" w:eastAsia="Calibri" w:hAnsi="Arial" w:cs="Arial"/>
          <w:sz w:val="22"/>
          <w:szCs w:val="22"/>
          <w:lang w:val="es-CL" w:eastAsia="es-CL"/>
        </w:rPr>
        <w:t>de las normas contenidas en los artículos 64 bis y 64 ter</w:t>
      </w:r>
      <w:r w:rsidR="005E2E0B" w:rsidRPr="00252C1F">
        <w:rPr>
          <w:rFonts w:ascii="Arial" w:eastAsia="Calibri" w:hAnsi="Arial" w:cs="Arial"/>
          <w:sz w:val="22"/>
          <w:szCs w:val="22"/>
          <w:lang w:val="es-CL" w:eastAsia="es-CL"/>
        </w:rPr>
        <w:t>,</w:t>
      </w:r>
      <w:r w:rsidR="0026115D" w:rsidRPr="00252C1F">
        <w:rPr>
          <w:rFonts w:ascii="Arial" w:eastAsia="Calibri" w:hAnsi="Arial" w:cs="Arial"/>
          <w:sz w:val="22"/>
          <w:szCs w:val="22"/>
          <w:lang w:val="es-CL" w:eastAsia="es-CL"/>
        </w:rPr>
        <w:t xml:space="preserve"> de la LIR, bajo la modalidad y de acuerdo a lo indicado en el artículo </w:t>
      </w:r>
      <w:r w:rsidR="003465F6" w:rsidRPr="00252C1F">
        <w:rPr>
          <w:rFonts w:ascii="Arial" w:eastAsia="Calibri" w:hAnsi="Arial" w:cs="Arial"/>
          <w:sz w:val="22"/>
          <w:szCs w:val="22"/>
          <w:lang w:val="es-CL" w:eastAsia="es-CL"/>
        </w:rPr>
        <w:t>2°</w:t>
      </w:r>
      <w:r w:rsidR="0026115D" w:rsidRPr="00252C1F">
        <w:rPr>
          <w:rFonts w:ascii="Arial" w:eastAsia="Calibri" w:hAnsi="Arial" w:cs="Arial"/>
          <w:sz w:val="22"/>
          <w:szCs w:val="22"/>
          <w:lang w:val="es-CL" w:eastAsia="es-CL"/>
        </w:rPr>
        <w:t xml:space="preserve"> transitorio de</w:t>
      </w:r>
      <w:r w:rsidR="00902451" w:rsidRPr="00252C1F">
        <w:rPr>
          <w:rFonts w:ascii="Arial" w:eastAsia="Calibri" w:hAnsi="Arial" w:cs="Arial"/>
          <w:sz w:val="22"/>
          <w:szCs w:val="22"/>
          <w:lang w:val="es-CL" w:eastAsia="es-CL"/>
        </w:rPr>
        <w:t xml:space="preserve"> </w:t>
      </w:r>
      <w:r w:rsidR="0026115D" w:rsidRPr="00252C1F">
        <w:rPr>
          <w:rFonts w:ascii="Arial" w:eastAsia="Calibri" w:hAnsi="Arial" w:cs="Arial"/>
          <w:sz w:val="22"/>
          <w:szCs w:val="22"/>
          <w:lang w:val="es-CL" w:eastAsia="es-CL"/>
        </w:rPr>
        <w:t xml:space="preserve">esta </w:t>
      </w:r>
      <w:r w:rsidR="00902451" w:rsidRPr="00252C1F">
        <w:rPr>
          <w:rFonts w:ascii="Arial" w:eastAsia="Calibri" w:hAnsi="Arial" w:cs="Arial"/>
          <w:sz w:val="22"/>
          <w:szCs w:val="22"/>
          <w:lang w:val="es-CL" w:eastAsia="es-CL"/>
        </w:rPr>
        <w:t>misma L</w:t>
      </w:r>
      <w:r w:rsidR="0026115D" w:rsidRPr="00252C1F">
        <w:rPr>
          <w:rFonts w:ascii="Arial" w:eastAsia="Calibri" w:hAnsi="Arial" w:cs="Arial"/>
          <w:sz w:val="22"/>
          <w:szCs w:val="22"/>
          <w:lang w:val="es-CL" w:eastAsia="es-CL"/>
        </w:rPr>
        <w:t>ey.</w:t>
      </w:r>
      <w:r w:rsidR="00616C1C">
        <w:rPr>
          <w:rFonts w:ascii="Arial" w:eastAsia="Calibri" w:hAnsi="Arial" w:cs="Arial"/>
          <w:sz w:val="22"/>
          <w:szCs w:val="22"/>
          <w:lang w:val="es-CL" w:eastAsia="es-CL"/>
        </w:rPr>
        <w:t xml:space="preserve"> Estos contribuyentes tendrán derecho a que las empresas receptoras de la inversión puedan explotar otros proyectos mineros conexos, distintos a los individualizados en sus contratos, amparándolos en el régimen de invariabilidad pactado</w:t>
      </w:r>
      <w:r w:rsidR="00616C1C" w:rsidRPr="00252C1F">
        <w:rPr>
          <w:rFonts w:ascii="Arial" w:eastAsia="Calibri" w:hAnsi="Arial" w:cs="Arial"/>
          <w:sz w:val="22"/>
          <w:szCs w:val="22"/>
          <w:lang w:val="es-CL" w:eastAsia="es-CL"/>
        </w:rPr>
        <w:t>.</w:t>
      </w:r>
    </w:p>
    <w:p w:rsidR="0026115D" w:rsidRPr="00252C1F" w:rsidRDefault="0026115D" w:rsidP="00FA00DE">
      <w:pPr>
        <w:tabs>
          <w:tab w:val="left" w:pos="284"/>
        </w:tabs>
        <w:autoSpaceDE w:val="0"/>
        <w:autoSpaceDN w:val="0"/>
        <w:adjustRightInd w:val="0"/>
        <w:ind w:right="-93"/>
        <w:jc w:val="both"/>
        <w:rPr>
          <w:rFonts w:ascii="Arial" w:eastAsia="Calibri" w:hAnsi="Arial" w:cs="Arial"/>
          <w:sz w:val="22"/>
          <w:szCs w:val="22"/>
          <w:lang w:val="es-CL" w:eastAsia="es-CL"/>
        </w:rPr>
      </w:pPr>
    </w:p>
    <w:p w:rsidR="00AC30DB" w:rsidRPr="001E1C41" w:rsidRDefault="00902451" w:rsidP="00FA00DE">
      <w:pPr>
        <w:numPr>
          <w:ilvl w:val="0"/>
          <w:numId w:val="36"/>
        </w:numPr>
        <w:tabs>
          <w:tab w:val="left" w:pos="284"/>
        </w:tabs>
        <w:autoSpaceDE w:val="0"/>
        <w:autoSpaceDN w:val="0"/>
        <w:adjustRightInd w:val="0"/>
        <w:ind w:left="0" w:right="-93" w:firstLine="0"/>
        <w:jc w:val="both"/>
        <w:rPr>
          <w:rFonts w:ascii="Arial" w:eastAsia="Calibri" w:hAnsi="Arial" w:cs="Arial"/>
          <w:b/>
          <w:sz w:val="22"/>
          <w:szCs w:val="22"/>
          <w:lang w:val="es-CL" w:eastAsia="es-CL"/>
        </w:rPr>
      </w:pPr>
      <w:r w:rsidRPr="001E1C41">
        <w:rPr>
          <w:rFonts w:ascii="Arial" w:eastAsia="Calibri" w:hAnsi="Arial" w:cs="Arial"/>
          <w:b/>
          <w:sz w:val="22"/>
          <w:szCs w:val="22"/>
          <w:lang w:val="es-CL" w:eastAsia="es-CL"/>
        </w:rPr>
        <w:t>Inversionistas extranjeros</w:t>
      </w:r>
      <w:r w:rsidR="007F1C8F">
        <w:rPr>
          <w:rFonts w:ascii="Arial" w:eastAsia="Calibri" w:hAnsi="Arial" w:cs="Arial"/>
          <w:b/>
          <w:sz w:val="22"/>
          <w:szCs w:val="22"/>
          <w:lang w:val="es-CL" w:eastAsia="es-CL"/>
        </w:rPr>
        <w:t xml:space="preserve"> acogidos a los artículos 7 u 11 bis</w:t>
      </w:r>
      <w:r w:rsidRPr="001E1C41">
        <w:rPr>
          <w:rFonts w:ascii="Arial" w:eastAsia="Calibri" w:hAnsi="Arial" w:cs="Arial"/>
          <w:b/>
          <w:sz w:val="22"/>
          <w:szCs w:val="22"/>
          <w:lang w:val="es-CL" w:eastAsia="es-CL"/>
        </w:rPr>
        <w:t xml:space="preserve"> que optaren por lo señalado en </w:t>
      </w:r>
      <w:r w:rsidR="007F1C8F">
        <w:rPr>
          <w:rFonts w:ascii="Arial" w:eastAsia="Calibri" w:hAnsi="Arial" w:cs="Arial"/>
          <w:b/>
          <w:sz w:val="22"/>
          <w:szCs w:val="22"/>
          <w:lang w:val="es-CL" w:eastAsia="es-CL"/>
        </w:rPr>
        <w:t>los incisos 2</w:t>
      </w:r>
      <w:r w:rsidR="00BE6C58" w:rsidRPr="001E1C41">
        <w:rPr>
          <w:rFonts w:ascii="Arial" w:eastAsia="Calibri" w:hAnsi="Arial" w:cs="Arial"/>
          <w:b/>
          <w:sz w:val="22"/>
          <w:szCs w:val="22"/>
          <w:lang w:val="es-CL" w:eastAsia="es-CL"/>
        </w:rPr>
        <w:t xml:space="preserve">° a 5° del artículo 3° </w:t>
      </w:r>
      <w:r w:rsidR="00382E07" w:rsidRPr="001E1C41">
        <w:rPr>
          <w:rFonts w:ascii="Arial" w:eastAsia="Calibri" w:hAnsi="Arial" w:cs="Arial"/>
          <w:b/>
          <w:sz w:val="22"/>
          <w:szCs w:val="22"/>
          <w:lang w:val="es-CL" w:eastAsia="es-CL"/>
        </w:rPr>
        <w:t>t</w:t>
      </w:r>
      <w:r w:rsidR="00BE6C58" w:rsidRPr="001E1C41">
        <w:rPr>
          <w:rFonts w:ascii="Arial" w:eastAsia="Calibri" w:hAnsi="Arial" w:cs="Arial"/>
          <w:b/>
          <w:sz w:val="22"/>
          <w:szCs w:val="22"/>
          <w:lang w:val="es-CL" w:eastAsia="es-CL"/>
        </w:rPr>
        <w:t>ransitorio</w:t>
      </w:r>
      <w:r w:rsidR="006B2706" w:rsidRPr="001E1C41">
        <w:rPr>
          <w:rFonts w:ascii="Arial" w:eastAsia="Calibri" w:hAnsi="Arial" w:cs="Arial"/>
          <w:b/>
          <w:sz w:val="22"/>
          <w:szCs w:val="22"/>
          <w:lang w:val="es-CL" w:eastAsia="es-CL"/>
        </w:rPr>
        <w:t>,</w:t>
      </w:r>
      <w:r w:rsidR="00BE6C58" w:rsidRPr="001E1C41">
        <w:rPr>
          <w:rFonts w:ascii="Arial" w:eastAsia="Calibri" w:hAnsi="Arial" w:cs="Arial"/>
          <w:b/>
          <w:sz w:val="22"/>
          <w:szCs w:val="22"/>
          <w:lang w:val="es-CL" w:eastAsia="es-CL"/>
        </w:rPr>
        <w:t xml:space="preserve"> de </w:t>
      </w:r>
      <w:smartTag w:uri="urn:schemas-microsoft-com:office:smarttags" w:element="PersonName">
        <w:smartTagPr>
          <w:attr w:name="ProductID" w:val="la Ley"/>
        </w:smartTagPr>
        <w:r w:rsidR="00BE6C58" w:rsidRPr="001E1C41">
          <w:rPr>
            <w:rFonts w:ascii="Arial" w:eastAsia="Calibri" w:hAnsi="Arial" w:cs="Arial"/>
            <w:b/>
            <w:sz w:val="22"/>
            <w:szCs w:val="22"/>
            <w:lang w:val="es-CL" w:eastAsia="es-CL"/>
          </w:rPr>
          <w:t>la Ley</w:t>
        </w:r>
      </w:smartTag>
      <w:r w:rsidR="00BE6C58" w:rsidRPr="001E1C41">
        <w:rPr>
          <w:rFonts w:ascii="Arial" w:eastAsia="Calibri" w:hAnsi="Arial" w:cs="Arial"/>
          <w:b/>
          <w:sz w:val="22"/>
          <w:szCs w:val="22"/>
          <w:lang w:val="es-CL" w:eastAsia="es-CL"/>
        </w:rPr>
        <w:t xml:space="preserve"> 20.469.</w:t>
      </w:r>
      <w:r w:rsidR="006C7D35" w:rsidRPr="001E1C41">
        <w:rPr>
          <w:rFonts w:ascii="Arial" w:eastAsia="Calibri" w:hAnsi="Arial" w:cs="Arial"/>
          <w:b/>
          <w:sz w:val="22"/>
          <w:szCs w:val="22"/>
          <w:lang w:val="es-CL" w:eastAsia="es-CL"/>
        </w:rPr>
        <w:t xml:space="preserve"> </w:t>
      </w:r>
    </w:p>
    <w:p w:rsidR="00AC30DB" w:rsidRPr="00252C1F" w:rsidRDefault="00AC30DB" w:rsidP="00FA00DE">
      <w:pPr>
        <w:tabs>
          <w:tab w:val="left" w:pos="284"/>
        </w:tabs>
        <w:autoSpaceDE w:val="0"/>
        <w:autoSpaceDN w:val="0"/>
        <w:adjustRightInd w:val="0"/>
        <w:ind w:right="-93"/>
        <w:jc w:val="both"/>
        <w:rPr>
          <w:rFonts w:ascii="Arial" w:eastAsia="Calibri" w:hAnsi="Arial" w:cs="Arial"/>
          <w:sz w:val="22"/>
          <w:szCs w:val="22"/>
          <w:lang w:val="es-CL" w:eastAsia="es-CL"/>
        </w:rPr>
      </w:pPr>
    </w:p>
    <w:p w:rsidR="00BE6C58" w:rsidRPr="00252C1F" w:rsidRDefault="006C7D35" w:rsidP="00FA00DE">
      <w:pPr>
        <w:tabs>
          <w:tab w:val="left" w:pos="284"/>
        </w:tabs>
        <w:autoSpaceDE w:val="0"/>
        <w:autoSpaceDN w:val="0"/>
        <w:adjustRightInd w:val="0"/>
        <w:ind w:right="-93"/>
        <w:jc w:val="both"/>
        <w:rPr>
          <w:rFonts w:ascii="Arial" w:eastAsia="Calibri" w:hAnsi="Arial" w:cs="Arial"/>
          <w:sz w:val="22"/>
          <w:szCs w:val="22"/>
          <w:lang w:val="es-CL" w:eastAsia="es-CL"/>
        </w:rPr>
      </w:pPr>
      <w:r w:rsidRPr="00252C1F">
        <w:rPr>
          <w:rFonts w:ascii="Arial" w:eastAsia="Calibri" w:hAnsi="Arial" w:cs="Arial"/>
          <w:sz w:val="22"/>
          <w:szCs w:val="22"/>
          <w:lang w:val="es-CL" w:eastAsia="es-CL"/>
        </w:rPr>
        <w:t xml:space="preserve">Los inversionistas extranjeros que gocen de los derechos de invariabilidad contemplados en los artículos 7 u 11 bis del </w:t>
      </w:r>
      <w:r w:rsidR="00593EAC" w:rsidRPr="00252C1F">
        <w:rPr>
          <w:rFonts w:ascii="Arial" w:eastAsia="Calibri" w:hAnsi="Arial" w:cs="Arial"/>
          <w:sz w:val="22"/>
          <w:szCs w:val="22"/>
          <w:lang w:val="es-CL" w:eastAsia="es-CL"/>
        </w:rPr>
        <w:t>DL</w:t>
      </w:r>
      <w:r w:rsidRPr="00252C1F">
        <w:rPr>
          <w:rFonts w:ascii="Arial" w:eastAsia="Calibri" w:hAnsi="Arial" w:cs="Arial"/>
          <w:sz w:val="22"/>
          <w:szCs w:val="22"/>
          <w:lang w:val="es-CL" w:eastAsia="es-CL"/>
        </w:rPr>
        <w:t xml:space="preserve"> 600, que se acojan a lo dispuesto en los artículos 2° y 3° </w:t>
      </w:r>
      <w:r w:rsidR="00862EB4" w:rsidRPr="00252C1F">
        <w:rPr>
          <w:rFonts w:ascii="Arial" w:eastAsia="Calibri" w:hAnsi="Arial" w:cs="Arial"/>
          <w:sz w:val="22"/>
          <w:szCs w:val="22"/>
          <w:lang w:val="es-CL" w:eastAsia="es-CL"/>
        </w:rPr>
        <w:t>t</w:t>
      </w:r>
      <w:r w:rsidRPr="00252C1F">
        <w:rPr>
          <w:rFonts w:ascii="Arial" w:eastAsia="Calibri" w:hAnsi="Arial" w:cs="Arial"/>
          <w:sz w:val="22"/>
          <w:szCs w:val="22"/>
          <w:lang w:val="es-CL" w:eastAsia="es-CL"/>
        </w:rPr>
        <w:t>ransitorios de la Ley 20.469</w:t>
      </w:r>
      <w:r w:rsidR="00A6515C">
        <w:rPr>
          <w:rFonts w:ascii="Arial" w:eastAsia="Calibri" w:hAnsi="Arial" w:cs="Arial"/>
          <w:sz w:val="22"/>
          <w:szCs w:val="22"/>
          <w:lang w:val="es-CL" w:eastAsia="es-CL"/>
        </w:rPr>
        <w:t>, tendrán también derecho a que las empresas receptoras de la inversión puedan explotar otros proyectos mineros conexos, dist</w:t>
      </w:r>
      <w:r w:rsidR="009E55AD">
        <w:rPr>
          <w:rFonts w:ascii="Arial" w:eastAsia="Calibri" w:hAnsi="Arial" w:cs="Arial"/>
          <w:sz w:val="22"/>
          <w:szCs w:val="22"/>
          <w:lang w:val="es-CL" w:eastAsia="es-CL"/>
        </w:rPr>
        <w:t>i</w:t>
      </w:r>
      <w:r w:rsidR="00A6515C">
        <w:rPr>
          <w:rFonts w:ascii="Arial" w:eastAsia="Calibri" w:hAnsi="Arial" w:cs="Arial"/>
          <w:sz w:val="22"/>
          <w:szCs w:val="22"/>
          <w:lang w:val="es-CL" w:eastAsia="es-CL"/>
        </w:rPr>
        <w:t>ntos a los individualizados en sus contratos</w:t>
      </w:r>
      <w:r w:rsidR="009E55AD">
        <w:rPr>
          <w:rFonts w:ascii="Arial" w:eastAsia="Calibri" w:hAnsi="Arial" w:cs="Arial"/>
          <w:sz w:val="22"/>
          <w:szCs w:val="22"/>
          <w:lang w:val="es-CL" w:eastAsia="es-CL"/>
        </w:rPr>
        <w:t>, amparándolos en el régimen de invariabilidad pactado</w:t>
      </w:r>
      <w:r w:rsidR="00BE6C58" w:rsidRPr="00252C1F">
        <w:rPr>
          <w:rFonts w:ascii="Arial" w:eastAsia="Calibri" w:hAnsi="Arial" w:cs="Arial"/>
          <w:sz w:val="22"/>
          <w:szCs w:val="22"/>
          <w:lang w:val="es-CL" w:eastAsia="es-CL"/>
        </w:rPr>
        <w:t>.</w:t>
      </w:r>
    </w:p>
    <w:p w:rsidR="00902451" w:rsidRPr="00252C1F" w:rsidRDefault="00902451" w:rsidP="00FA00DE">
      <w:pPr>
        <w:tabs>
          <w:tab w:val="left" w:pos="284"/>
        </w:tabs>
        <w:autoSpaceDE w:val="0"/>
        <w:autoSpaceDN w:val="0"/>
        <w:adjustRightInd w:val="0"/>
        <w:ind w:right="-93"/>
        <w:jc w:val="both"/>
        <w:rPr>
          <w:rFonts w:ascii="Arial" w:eastAsia="Calibri" w:hAnsi="Arial" w:cs="Arial"/>
          <w:sz w:val="22"/>
          <w:szCs w:val="22"/>
          <w:lang w:val="es-CL" w:eastAsia="es-CL"/>
        </w:rPr>
      </w:pPr>
    </w:p>
    <w:p w:rsidR="003E2A16" w:rsidRPr="00616C1C" w:rsidRDefault="003E2A16" w:rsidP="00FA00DE">
      <w:pPr>
        <w:numPr>
          <w:ilvl w:val="0"/>
          <w:numId w:val="36"/>
        </w:numPr>
        <w:tabs>
          <w:tab w:val="left" w:pos="284"/>
        </w:tabs>
        <w:autoSpaceDE w:val="0"/>
        <w:autoSpaceDN w:val="0"/>
        <w:adjustRightInd w:val="0"/>
        <w:ind w:left="0" w:right="-93" w:firstLine="0"/>
        <w:jc w:val="both"/>
        <w:rPr>
          <w:rFonts w:ascii="Arial" w:eastAsia="Calibri" w:hAnsi="Arial" w:cs="Arial"/>
          <w:b/>
          <w:sz w:val="22"/>
          <w:szCs w:val="22"/>
          <w:lang w:val="es-CL" w:eastAsia="es-CL"/>
        </w:rPr>
      </w:pPr>
      <w:r w:rsidRPr="00616C1C">
        <w:rPr>
          <w:rFonts w:ascii="Arial" w:eastAsia="Calibri" w:hAnsi="Arial" w:cs="Arial"/>
          <w:b/>
          <w:sz w:val="22"/>
          <w:szCs w:val="22"/>
          <w:lang w:val="es-CL" w:eastAsia="es-CL"/>
        </w:rPr>
        <w:t>Empresas con con</w:t>
      </w:r>
      <w:r w:rsidR="00862EB4" w:rsidRPr="00616C1C">
        <w:rPr>
          <w:rFonts w:ascii="Arial" w:eastAsia="Calibri" w:hAnsi="Arial" w:cs="Arial"/>
          <w:b/>
          <w:sz w:val="22"/>
          <w:szCs w:val="22"/>
          <w:lang w:val="es-CL" w:eastAsia="es-CL"/>
        </w:rPr>
        <w:t>tratos</w:t>
      </w:r>
      <w:r w:rsidRPr="00616C1C">
        <w:rPr>
          <w:rFonts w:ascii="Arial" w:eastAsia="Calibri" w:hAnsi="Arial" w:cs="Arial"/>
          <w:b/>
          <w:sz w:val="22"/>
          <w:szCs w:val="22"/>
          <w:lang w:val="es-CL" w:eastAsia="es-CL"/>
        </w:rPr>
        <w:t xml:space="preserve"> vigentes acogidos al artículo 5° transitorio de la </w:t>
      </w:r>
      <w:r w:rsidR="0076074F" w:rsidRPr="00616C1C">
        <w:rPr>
          <w:rFonts w:ascii="Arial" w:eastAsia="Calibri" w:hAnsi="Arial" w:cs="Arial"/>
          <w:b/>
          <w:sz w:val="22"/>
          <w:szCs w:val="22"/>
          <w:lang w:val="es-CL" w:eastAsia="es-CL"/>
        </w:rPr>
        <w:t>L</w:t>
      </w:r>
      <w:r w:rsidRPr="00616C1C">
        <w:rPr>
          <w:rFonts w:ascii="Arial" w:eastAsia="Calibri" w:hAnsi="Arial" w:cs="Arial"/>
          <w:b/>
          <w:sz w:val="22"/>
          <w:szCs w:val="22"/>
          <w:lang w:val="es-CL" w:eastAsia="es-CL"/>
        </w:rPr>
        <w:t xml:space="preserve">ey 20.026. </w:t>
      </w:r>
    </w:p>
    <w:p w:rsidR="002162E9" w:rsidRPr="00616C1C" w:rsidRDefault="002162E9" w:rsidP="00FA00DE">
      <w:pPr>
        <w:tabs>
          <w:tab w:val="left" w:pos="284"/>
        </w:tabs>
        <w:autoSpaceDE w:val="0"/>
        <w:autoSpaceDN w:val="0"/>
        <w:adjustRightInd w:val="0"/>
        <w:ind w:right="-93"/>
        <w:jc w:val="both"/>
        <w:rPr>
          <w:rFonts w:ascii="Arial" w:eastAsia="Calibri" w:hAnsi="Arial" w:cs="Arial"/>
          <w:b/>
          <w:sz w:val="22"/>
          <w:szCs w:val="22"/>
          <w:lang w:val="es-CL" w:eastAsia="es-CL"/>
        </w:rPr>
      </w:pPr>
    </w:p>
    <w:p w:rsidR="00382E07" w:rsidRPr="00616C1C" w:rsidRDefault="00F81423" w:rsidP="00EB6F27">
      <w:pPr>
        <w:autoSpaceDE w:val="0"/>
        <w:autoSpaceDN w:val="0"/>
        <w:adjustRightInd w:val="0"/>
        <w:ind w:right="-93"/>
        <w:jc w:val="both"/>
        <w:rPr>
          <w:rFonts w:ascii="Arial" w:eastAsia="Calibri" w:hAnsi="Arial" w:cs="Arial"/>
          <w:sz w:val="22"/>
          <w:szCs w:val="22"/>
          <w:lang w:val="es-CL" w:eastAsia="es-CL"/>
        </w:rPr>
      </w:pPr>
      <w:r>
        <w:rPr>
          <w:rFonts w:ascii="Arial" w:eastAsia="Calibri" w:hAnsi="Arial" w:cs="Arial"/>
          <w:sz w:val="22"/>
          <w:szCs w:val="22"/>
          <w:lang w:val="es-CL" w:eastAsia="es-CL"/>
        </w:rPr>
        <w:t>P</w:t>
      </w:r>
      <w:r w:rsidR="002162E9" w:rsidRPr="00616C1C">
        <w:rPr>
          <w:rFonts w:ascii="Arial" w:eastAsia="Calibri" w:hAnsi="Arial" w:cs="Arial"/>
          <w:sz w:val="22"/>
          <w:szCs w:val="22"/>
          <w:lang w:val="es-CL" w:eastAsia="es-CL"/>
        </w:rPr>
        <w:t>odrán optar por amparar los proyectos mineros conexos</w:t>
      </w:r>
      <w:r w:rsidR="00724B96" w:rsidRPr="00616C1C">
        <w:rPr>
          <w:rFonts w:ascii="Arial" w:eastAsia="Calibri" w:hAnsi="Arial" w:cs="Arial"/>
          <w:sz w:val="22"/>
          <w:szCs w:val="22"/>
          <w:lang w:val="es-CL" w:eastAsia="es-CL"/>
        </w:rPr>
        <w:t xml:space="preserve"> al régimen de invariabilidad que hubie</w:t>
      </w:r>
      <w:r w:rsidR="0076074F" w:rsidRPr="00616C1C">
        <w:rPr>
          <w:rFonts w:ascii="Arial" w:eastAsia="Calibri" w:hAnsi="Arial" w:cs="Arial"/>
          <w:sz w:val="22"/>
          <w:szCs w:val="22"/>
          <w:lang w:val="es-CL" w:eastAsia="es-CL"/>
        </w:rPr>
        <w:t>se</w:t>
      </w:r>
      <w:r w:rsidR="00724B96" w:rsidRPr="00616C1C">
        <w:rPr>
          <w:rFonts w:ascii="Arial" w:eastAsia="Calibri" w:hAnsi="Arial" w:cs="Arial"/>
          <w:sz w:val="22"/>
          <w:szCs w:val="22"/>
          <w:lang w:val="es-CL" w:eastAsia="es-CL"/>
        </w:rPr>
        <w:t xml:space="preserve">n pactado conforme al artículo 5° transitorio de la </w:t>
      </w:r>
      <w:r w:rsidR="0076074F" w:rsidRPr="00616C1C">
        <w:rPr>
          <w:rFonts w:ascii="Arial" w:eastAsia="Calibri" w:hAnsi="Arial" w:cs="Arial"/>
          <w:sz w:val="22"/>
          <w:szCs w:val="22"/>
          <w:lang w:val="es-CL" w:eastAsia="es-CL"/>
        </w:rPr>
        <w:t>L</w:t>
      </w:r>
      <w:r w:rsidR="00724B96" w:rsidRPr="00616C1C">
        <w:rPr>
          <w:rFonts w:ascii="Arial" w:eastAsia="Calibri" w:hAnsi="Arial" w:cs="Arial"/>
          <w:sz w:val="22"/>
          <w:szCs w:val="22"/>
          <w:lang w:val="es-CL" w:eastAsia="es-CL"/>
        </w:rPr>
        <w:t xml:space="preserve">ey 20.026, </w:t>
      </w:r>
      <w:r w:rsidR="002162E9" w:rsidRPr="00616C1C">
        <w:rPr>
          <w:rFonts w:ascii="Arial" w:eastAsia="Calibri" w:hAnsi="Arial" w:cs="Arial"/>
          <w:sz w:val="22"/>
          <w:szCs w:val="22"/>
          <w:lang w:val="es-CL" w:eastAsia="es-CL"/>
        </w:rPr>
        <w:t xml:space="preserve">las empresas afectas al </w:t>
      </w:r>
      <w:r w:rsidR="0076074F" w:rsidRPr="002A792B">
        <w:rPr>
          <w:rFonts w:ascii="Arial" w:eastAsia="Calibri" w:hAnsi="Arial" w:cs="Arial"/>
          <w:b/>
          <w:sz w:val="22"/>
          <w:szCs w:val="22"/>
          <w:lang w:val="es-CL" w:eastAsia="es-CL"/>
        </w:rPr>
        <w:t>IEM</w:t>
      </w:r>
      <w:r w:rsidR="002162E9" w:rsidRPr="00616C1C">
        <w:rPr>
          <w:rFonts w:ascii="Arial" w:eastAsia="Calibri" w:hAnsi="Arial" w:cs="Arial"/>
          <w:sz w:val="22"/>
          <w:szCs w:val="22"/>
          <w:lang w:val="es-CL" w:eastAsia="es-CL"/>
        </w:rPr>
        <w:t xml:space="preserve"> establecido en el artículo 64 bis de la </w:t>
      </w:r>
      <w:r w:rsidR="0076074F" w:rsidRPr="00616C1C">
        <w:rPr>
          <w:rFonts w:ascii="Arial" w:eastAsia="Calibri" w:hAnsi="Arial" w:cs="Arial"/>
          <w:sz w:val="22"/>
          <w:szCs w:val="22"/>
          <w:lang w:val="es-CL" w:eastAsia="es-CL"/>
        </w:rPr>
        <w:t>LIR</w:t>
      </w:r>
      <w:r w:rsidR="002162E9" w:rsidRPr="00616C1C">
        <w:rPr>
          <w:rFonts w:ascii="Arial" w:eastAsia="Calibri" w:hAnsi="Arial" w:cs="Arial"/>
          <w:sz w:val="22"/>
          <w:szCs w:val="22"/>
          <w:lang w:val="es-CL" w:eastAsia="es-CL"/>
        </w:rPr>
        <w:t xml:space="preserve">, que no sean empresas receptoras del aporte de inversionistas extranjeros que hayan suscrito con el Estado de Chile un contrato de inversión extranjera conforme con lo dispuesto en el </w:t>
      </w:r>
      <w:r w:rsidR="0076074F" w:rsidRPr="00616C1C">
        <w:rPr>
          <w:rFonts w:ascii="Arial" w:eastAsia="Calibri" w:hAnsi="Arial" w:cs="Arial"/>
          <w:sz w:val="22"/>
          <w:szCs w:val="22"/>
          <w:lang w:val="es-CL" w:eastAsia="es-CL"/>
        </w:rPr>
        <w:t>DL</w:t>
      </w:r>
      <w:r w:rsidR="002162E9" w:rsidRPr="00616C1C">
        <w:rPr>
          <w:rFonts w:ascii="Arial" w:eastAsia="Calibri" w:hAnsi="Arial" w:cs="Arial"/>
          <w:sz w:val="22"/>
          <w:szCs w:val="22"/>
          <w:lang w:val="es-CL" w:eastAsia="es-CL"/>
        </w:rPr>
        <w:t xml:space="preserve"> 600, de 1974</w:t>
      </w:r>
      <w:r w:rsidR="00D945F5" w:rsidRPr="00616C1C">
        <w:rPr>
          <w:rFonts w:ascii="Arial" w:eastAsia="Calibri" w:hAnsi="Arial" w:cs="Arial"/>
          <w:sz w:val="22"/>
          <w:szCs w:val="22"/>
          <w:lang w:val="es-CL" w:eastAsia="es-CL"/>
        </w:rPr>
        <w:t xml:space="preserve"> solicita</w:t>
      </w:r>
      <w:r>
        <w:rPr>
          <w:rFonts w:ascii="Arial" w:eastAsia="Calibri" w:hAnsi="Arial" w:cs="Arial"/>
          <w:sz w:val="22"/>
          <w:szCs w:val="22"/>
          <w:lang w:val="es-CL" w:eastAsia="es-CL"/>
        </w:rPr>
        <w:t>n</w:t>
      </w:r>
      <w:r w:rsidR="00724B96" w:rsidRPr="00616C1C">
        <w:rPr>
          <w:rFonts w:ascii="Arial" w:eastAsia="Calibri" w:hAnsi="Arial" w:cs="Arial"/>
          <w:sz w:val="22"/>
          <w:szCs w:val="22"/>
          <w:lang w:val="es-CL" w:eastAsia="es-CL"/>
        </w:rPr>
        <w:t>do</w:t>
      </w:r>
      <w:r w:rsidR="00D945F5" w:rsidRPr="00616C1C">
        <w:rPr>
          <w:rFonts w:ascii="Arial" w:eastAsia="Calibri" w:hAnsi="Arial" w:cs="Arial"/>
          <w:sz w:val="22"/>
          <w:szCs w:val="22"/>
          <w:lang w:val="es-CL" w:eastAsia="es-CL"/>
        </w:rPr>
        <w:t xml:space="preserve"> se</w:t>
      </w:r>
      <w:r w:rsidR="002162E9" w:rsidRPr="00616C1C">
        <w:rPr>
          <w:rFonts w:ascii="Arial" w:eastAsia="Calibri" w:hAnsi="Arial" w:cs="Arial"/>
          <w:sz w:val="22"/>
          <w:szCs w:val="22"/>
          <w:lang w:val="es-CL" w:eastAsia="es-CL"/>
        </w:rPr>
        <w:t xml:space="preserve"> </w:t>
      </w:r>
      <w:r w:rsidR="00D945F5" w:rsidRPr="00616C1C">
        <w:rPr>
          <w:rFonts w:ascii="Arial" w:eastAsia="Calibri" w:hAnsi="Arial" w:cs="Arial"/>
          <w:sz w:val="22"/>
          <w:szCs w:val="22"/>
          <w:lang w:val="es-CL" w:eastAsia="es-CL"/>
        </w:rPr>
        <w:t>les concedan los derechos contenidos en el artículo 11 ter de</w:t>
      </w:r>
      <w:r w:rsidR="0076074F" w:rsidRPr="00616C1C">
        <w:rPr>
          <w:rFonts w:ascii="Arial" w:eastAsia="Calibri" w:hAnsi="Arial" w:cs="Arial"/>
          <w:sz w:val="22"/>
          <w:szCs w:val="22"/>
          <w:lang w:val="es-CL" w:eastAsia="es-CL"/>
        </w:rPr>
        <w:t xml:space="preserve"> dicho decreto ley</w:t>
      </w:r>
      <w:r w:rsidR="00D945F5" w:rsidRPr="00616C1C">
        <w:rPr>
          <w:rFonts w:ascii="Arial" w:eastAsia="Calibri" w:hAnsi="Arial" w:cs="Arial"/>
          <w:sz w:val="22"/>
          <w:szCs w:val="22"/>
          <w:lang w:val="es-CL" w:eastAsia="es-CL"/>
        </w:rPr>
        <w:t>, en las condiciones establecidas en</w:t>
      </w:r>
      <w:r w:rsidR="002162E9" w:rsidRPr="00616C1C">
        <w:rPr>
          <w:rFonts w:ascii="Arial" w:eastAsia="Calibri" w:hAnsi="Arial" w:cs="Arial"/>
          <w:sz w:val="22"/>
          <w:szCs w:val="22"/>
          <w:lang w:val="es-CL" w:eastAsia="es-CL"/>
        </w:rPr>
        <w:t xml:space="preserve"> </w:t>
      </w:r>
      <w:r w:rsidR="0076074F" w:rsidRPr="00616C1C">
        <w:rPr>
          <w:rFonts w:ascii="Arial" w:eastAsia="Calibri" w:hAnsi="Arial" w:cs="Arial"/>
          <w:sz w:val="22"/>
          <w:szCs w:val="22"/>
          <w:lang w:val="es-CL" w:eastAsia="es-CL"/>
        </w:rPr>
        <w:t>el citado</w:t>
      </w:r>
      <w:r w:rsidR="00D945F5" w:rsidRPr="00616C1C">
        <w:rPr>
          <w:rFonts w:ascii="Arial" w:eastAsia="Calibri" w:hAnsi="Arial" w:cs="Arial"/>
          <w:sz w:val="22"/>
          <w:szCs w:val="22"/>
          <w:lang w:val="es-CL" w:eastAsia="es-CL"/>
        </w:rPr>
        <w:t xml:space="preserve"> artículo</w:t>
      </w:r>
      <w:r w:rsidR="00724B96" w:rsidRPr="00616C1C">
        <w:rPr>
          <w:rFonts w:ascii="Arial" w:eastAsia="Calibri" w:hAnsi="Arial" w:cs="Arial"/>
          <w:sz w:val="22"/>
          <w:szCs w:val="22"/>
          <w:lang w:val="es-CL" w:eastAsia="es-CL"/>
        </w:rPr>
        <w:t xml:space="preserve"> 5° transitorio</w:t>
      </w:r>
      <w:r w:rsidR="006E1E00">
        <w:rPr>
          <w:rFonts w:ascii="Arial" w:eastAsia="Calibri" w:hAnsi="Arial" w:cs="Arial"/>
          <w:sz w:val="22"/>
          <w:szCs w:val="22"/>
          <w:lang w:val="es-CL" w:eastAsia="es-CL"/>
        </w:rPr>
        <w:t>, y que, obviamente, hayan optado por acogerse a lo dispuesto por los artículos 1° y 2° transitorios de la Ley 20.469</w:t>
      </w:r>
      <w:r w:rsidR="0076074F" w:rsidRPr="00616C1C">
        <w:rPr>
          <w:rFonts w:ascii="Arial" w:eastAsia="Calibri" w:hAnsi="Arial" w:cs="Arial"/>
          <w:sz w:val="22"/>
          <w:szCs w:val="22"/>
          <w:lang w:val="es-CL" w:eastAsia="es-CL"/>
        </w:rPr>
        <w:t>.</w:t>
      </w:r>
    </w:p>
    <w:p w:rsidR="00724B96" w:rsidRPr="00945A3B" w:rsidRDefault="00724B96" w:rsidP="00EB6F27">
      <w:pPr>
        <w:autoSpaceDE w:val="0"/>
        <w:autoSpaceDN w:val="0"/>
        <w:adjustRightInd w:val="0"/>
        <w:ind w:right="-93"/>
        <w:jc w:val="both"/>
        <w:rPr>
          <w:rFonts w:ascii="Arial" w:eastAsia="Calibri" w:hAnsi="Arial" w:cs="Arial"/>
          <w:sz w:val="22"/>
          <w:szCs w:val="22"/>
          <w:highlight w:val="yellow"/>
          <w:lang w:val="es-CL" w:eastAsia="es-CL"/>
        </w:rPr>
      </w:pPr>
    </w:p>
    <w:p w:rsidR="004403DF" w:rsidRDefault="004403DF" w:rsidP="00EB6F27">
      <w:pPr>
        <w:autoSpaceDE w:val="0"/>
        <w:autoSpaceDN w:val="0"/>
        <w:adjustRightInd w:val="0"/>
        <w:ind w:right="-93"/>
        <w:jc w:val="both"/>
        <w:rPr>
          <w:rFonts w:ascii="Arial" w:eastAsia="Calibri" w:hAnsi="Arial" w:cs="Arial"/>
          <w:b/>
          <w:sz w:val="22"/>
          <w:szCs w:val="22"/>
          <w:lang w:val="es-CL" w:eastAsia="es-CL"/>
        </w:rPr>
      </w:pPr>
    </w:p>
    <w:p w:rsidR="00BE6C58" w:rsidRPr="00600F1D" w:rsidRDefault="00BE6C58" w:rsidP="00EB6F27">
      <w:pPr>
        <w:autoSpaceDE w:val="0"/>
        <w:autoSpaceDN w:val="0"/>
        <w:adjustRightInd w:val="0"/>
        <w:ind w:right="-93"/>
        <w:jc w:val="both"/>
        <w:rPr>
          <w:rFonts w:ascii="Arial" w:eastAsia="Calibri" w:hAnsi="Arial" w:cs="Arial"/>
          <w:b/>
          <w:sz w:val="22"/>
          <w:szCs w:val="22"/>
          <w:lang w:val="es-CL" w:eastAsia="es-CL"/>
        </w:rPr>
      </w:pPr>
      <w:r w:rsidRPr="00600F1D">
        <w:rPr>
          <w:rFonts w:ascii="Arial" w:eastAsia="Calibri" w:hAnsi="Arial" w:cs="Arial"/>
          <w:b/>
          <w:sz w:val="22"/>
          <w:szCs w:val="22"/>
          <w:lang w:val="es-CL" w:eastAsia="es-CL"/>
        </w:rPr>
        <w:t>(</w:t>
      </w:r>
      <w:r w:rsidR="00C85209" w:rsidRPr="00600F1D">
        <w:rPr>
          <w:rFonts w:ascii="Arial" w:eastAsia="Calibri" w:hAnsi="Arial" w:cs="Arial"/>
          <w:b/>
          <w:sz w:val="22"/>
          <w:szCs w:val="22"/>
          <w:lang w:val="es-CL" w:eastAsia="es-CL"/>
        </w:rPr>
        <w:t>4.2</w:t>
      </w:r>
      <w:r w:rsidR="00797D51" w:rsidRPr="00600F1D">
        <w:rPr>
          <w:rFonts w:ascii="Arial" w:eastAsia="Calibri" w:hAnsi="Arial" w:cs="Arial"/>
          <w:b/>
          <w:sz w:val="22"/>
          <w:szCs w:val="22"/>
          <w:lang w:val="es-CL" w:eastAsia="es-CL"/>
        </w:rPr>
        <w:t>.</w:t>
      </w:r>
      <w:r w:rsidRPr="00600F1D">
        <w:rPr>
          <w:rFonts w:ascii="Arial" w:eastAsia="Calibri" w:hAnsi="Arial" w:cs="Arial"/>
          <w:b/>
          <w:sz w:val="22"/>
          <w:szCs w:val="22"/>
          <w:lang w:val="es-CL" w:eastAsia="es-CL"/>
        </w:rPr>
        <w:t>) Características de la opción.</w:t>
      </w:r>
    </w:p>
    <w:p w:rsidR="00BE6C58" w:rsidRPr="00600F1D" w:rsidRDefault="00BE6C58" w:rsidP="00EB6F27">
      <w:pPr>
        <w:autoSpaceDE w:val="0"/>
        <w:autoSpaceDN w:val="0"/>
        <w:adjustRightInd w:val="0"/>
        <w:ind w:right="-93"/>
        <w:jc w:val="both"/>
        <w:rPr>
          <w:rFonts w:ascii="Arial" w:eastAsia="Calibri" w:hAnsi="Arial" w:cs="Arial"/>
          <w:sz w:val="22"/>
          <w:szCs w:val="22"/>
          <w:lang w:val="es-CL" w:eastAsia="es-CL"/>
        </w:rPr>
      </w:pPr>
    </w:p>
    <w:p w:rsidR="00FA374B" w:rsidRPr="00600F1D" w:rsidRDefault="00BE6C58" w:rsidP="00EB6F27">
      <w:pPr>
        <w:autoSpaceDE w:val="0"/>
        <w:autoSpaceDN w:val="0"/>
        <w:adjustRightInd w:val="0"/>
        <w:ind w:right="-93"/>
        <w:jc w:val="both"/>
        <w:rPr>
          <w:rFonts w:ascii="Arial" w:eastAsia="Calibri" w:hAnsi="Arial" w:cs="Arial"/>
          <w:sz w:val="22"/>
          <w:szCs w:val="22"/>
          <w:lang w:val="es-CL" w:eastAsia="es-CL"/>
        </w:rPr>
      </w:pPr>
      <w:r w:rsidRPr="00600F1D">
        <w:rPr>
          <w:rFonts w:ascii="Arial" w:eastAsia="Calibri" w:hAnsi="Arial" w:cs="Arial"/>
          <w:sz w:val="22"/>
          <w:szCs w:val="22"/>
          <w:lang w:val="es-CL" w:eastAsia="es-CL"/>
        </w:rPr>
        <w:t>L</w:t>
      </w:r>
      <w:r w:rsidR="002A7434" w:rsidRPr="00600F1D">
        <w:rPr>
          <w:rFonts w:ascii="Arial" w:eastAsia="Calibri" w:hAnsi="Arial" w:cs="Arial"/>
          <w:sz w:val="22"/>
          <w:szCs w:val="22"/>
          <w:lang w:val="es-CL" w:eastAsia="es-CL"/>
        </w:rPr>
        <w:t xml:space="preserve">os contribuyentes </w:t>
      </w:r>
      <w:r w:rsidRPr="00600F1D">
        <w:rPr>
          <w:rFonts w:ascii="Arial" w:eastAsia="Calibri" w:hAnsi="Arial" w:cs="Arial"/>
          <w:sz w:val="22"/>
          <w:szCs w:val="22"/>
          <w:lang w:val="es-CL" w:eastAsia="es-CL"/>
        </w:rPr>
        <w:t xml:space="preserve">señalados en las letras </w:t>
      </w:r>
      <w:r w:rsidRPr="00600F1D">
        <w:rPr>
          <w:rFonts w:ascii="Arial" w:eastAsia="Calibri" w:hAnsi="Arial" w:cs="Arial"/>
          <w:b/>
          <w:sz w:val="22"/>
          <w:szCs w:val="22"/>
          <w:lang w:val="es-CL" w:eastAsia="es-CL"/>
        </w:rPr>
        <w:t>(a)</w:t>
      </w:r>
      <w:r w:rsidR="003E2A16" w:rsidRPr="00600F1D">
        <w:rPr>
          <w:rFonts w:ascii="Arial" w:eastAsia="Calibri" w:hAnsi="Arial" w:cs="Arial"/>
          <w:b/>
          <w:sz w:val="22"/>
          <w:szCs w:val="22"/>
          <w:lang w:val="es-CL" w:eastAsia="es-CL"/>
        </w:rPr>
        <w:t xml:space="preserve">, </w:t>
      </w:r>
      <w:r w:rsidRPr="00600F1D">
        <w:rPr>
          <w:rFonts w:ascii="Arial" w:eastAsia="Calibri" w:hAnsi="Arial" w:cs="Arial"/>
          <w:b/>
          <w:sz w:val="22"/>
          <w:szCs w:val="22"/>
          <w:lang w:val="es-CL" w:eastAsia="es-CL"/>
        </w:rPr>
        <w:t>(b)</w:t>
      </w:r>
      <w:r w:rsidRPr="00600F1D">
        <w:rPr>
          <w:rFonts w:ascii="Arial" w:eastAsia="Calibri" w:hAnsi="Arial" w:cs="Arial"/>
          <w:sz w:val="22"/>
          <w:szCs w:val="22"/>
          <w:lang w:val="es-CL" w:eastAsia="es-CL"/>
        </w:rPr>
        <w:t xml:space="preserve"> </w:t>
      </w:r>
      <w:r w:rsidR="003E2A16" w:rsidRPr="00600F1D">
        <w:rPr>
          <w:rFonts w:ascii="Arial" w:eastAsia="Calibri" w:hAnsi="Arial" w:cs="Arial"/>
          <w:sz w:val="22"/>
          <w:szCs w:val="22"/>
          <w:lang w:val="es-CL" w:eastAsia="es-CL"/>
        </w:rPr>
        <w:t xml:space="preserve">y </w:t>
      </w:r>
      <w:r w:rsidR="003E2A16" w:rsidRPr="00600F1D">
        <w:rPr>
          <w:rFonts w:ascii="Arial" w:eastAsia="Calibri" w:hAnsi="Arial" w:cs="Arial"/>
          <w:b/>
          <w:sz w:val="22"/>
          <w:szCs w:val="22"/>
          <w:lang w:val="es-CL" w:eastAsia="es-CL"/>
        </w:rPr>
        <w:t>(c),</w:t>
      </w:r>
      <w:r w:rsidR="003E2A16" w:rsidRPr="00600F1D">
        <w:rPr>
          <w:rFonts w:ascii="Arial" w:eastAsia="Calibri" w:hAnsi="Arial" w:cs="Arial"/>
          <w:sz w:val="22"/>
          <w:szCs w:val="22"/>
          <w:lang w:val="es-CL" w:eastAsia="es-CL"/>
        </w:rPr>
        <w:t xml:space="preserve"> </w:t>
      </w:r>
      <w:r w:rsidRPr="00600F1D">
        <w:rPr>
          <w:rFonts w:ascii="Arial" w:eastAsia="Calibri" w:hAnsi="Arial" w:cs="Arial"/>
          <w:sz w:val="22"/>
          <w:szCs w:val="22"/>
          <w:lang w:val="es-CL" w:eastAsia="es-CL"/>
        </w:rPr>
        <w:t>de</w:t>
      </w:r>
      <w:r w:rsidR="00765DE3" w:rsidRPr="00600F1D">
        <w:rPr>
          <w:rFonts w:ascii="Arial" w:eastAsia="Calibri" w:hAnsi="Arial" w:cs="Arial"/>
          <w:sz w:val="22"/>
          <w:szCs w:val="22"/>
          <w:lang w:val="es-CL" w:eastAsia="es-CL"/>
        </w:rPr>
        <w:t xml:space="preserve">l </w:t>
      </w:r>
      <w:r w:rsidR="00F93CB7" w:rsidRPr="00600F1D">
        <w:rPr>
          <w:rFonts w:ascii="Arial" w:eastAsia="Calibri" w:hAnsi="Arial" w:cs="Arial"/>
          <w:sz w:val="22"/>
          <w:szCs w:val="22"/>
          <w:lang w:val="es-CL" w:eastAsia="es-CL"/>
        </w:rPr>
        <w:t>número</w:t>
      </w:r>
      <w:r w:rsidR="00765DE3" w:rsidRPr="00600F1D">
        <w:rPr>
          <w:rFonts w:ascii="Arial" w:eastAsia="Calibri" w:hAnsi="Arial" w:cs="Arial"/>
          <w:b/>
          <w:sz w:val="22"/>
          <w:szCs w:val="22"/>
          <w:lang w:val="es-CL" w:eastAsia="es-CL"/>
        </w:rPr>
        <w:t xml:space="preserve"> (4.1)</w:t>
      </w:r>
      <w:r w:rsidRPr="00600F1D">
        <w:rPr>
          <w:rFonts w:ascii="Arial" w:eastAsia="Calibri" w:hAnsi="Arial" w:cs="Arial"/>
          <w:sz w:val="22"/>
          <w:szCs w:val="22"/>
          <w:lang w:val="es-CL" w:eastAsia="es-CL"/>
        </w:rPr>
        <w:t xml:space="preserve"> anterior</w:t>
      </w:r>
      <w:r w:rsidR="00CC1102" w:rsidRPr="00600F1D">
        <w:rPr>
          <w:rFonts w:ascii="Arial" w:eastAsia="Calibri" w:hAnsi="Arial" w:cs="Arial"/>
          <w:sz w:val="22"/>
          <w:szCs w:val="22"/>
          <w:lang w:val="es-CL" w:eastAsia="es-CL"/>
        </w:rPr>
        <w:t xml:space="preserve">, </w:t>
      </w:r>
      <w:r w:rsidR="003C5F66" w:rsidRPr="00600F1D">
        <w:rPr>
          <w:rFonts w:ascii="Arial" w:eastAsia="Calibri" w:hAnsi="Arial" w:cs="Arial"/>
          <w:sz w:val="22"/>
          <w:szCs w:val="22"/>
          <w:lang w:val="es-CL" w:eastAsia="es-CL"/>
        </w:rPr>
        <w:t>tendrán derecho a amparar los proyectos</w:t>
      </w:r>
      <w:r w:rsidR="00CC1102" w:rsidRPr="00600F1D">
        <w:rPr>
          <w:rFonts w:ascii="Arial" w:eastAsia="Calibri" w:hAnsi="Arial" w:cs="Arial"/>
          <w:sz w:val="22"/>
          <w:szCs w:val="22"/>
          <w:lang w:val="es-CL" w:eastAsia="es-CL"/>
        </w:rPr>
        <w:t xml:space="preserve"> </w:t>
      </w:r>
      <w:r w:rsidR="003C5F66" w:rsidRPr="00600F1D">
        <w:rPr>
          <w:rFonts w:ascii="Arial" w:eastAsia="Calibri" w:hAnsi="Arial" w:cs="Arial"/>
          <w:sz w:val="22"/>
          <w:szCs w:val="22"/>
          <w:lang w:val="es-CL" w:eastAsia="es-CL"/>
        </w:rPr>
        <w:t>conexos,</w:t>
      </w:r>
      <w:r w:rsidR="00616C1C" w:rsidRPr="00600F1D">
        <w:rPr>
          <w:rFonts w:ascii="Arial" w:eastAsia="Calibri" w:hAnsi="Arial" w:cs="Arial"/>
          <w:sz w:val="22"/>
          <w:szCs w:val="22"/>
          <w:lang w:val="es-CL" w:eastAsia="es-CL"/>
        </w:rPr>
        <w:t xml:space="preserve"> distintos a los actualmente individualizados en sus contratos,</w:t>
      </w:r>
      <w:r w:rsidR="003C5F66" w:rsidRPr="00600F1D">
        <w:rPr>
          <w:rFonts w:ascii="Arial" w:eastAsia="Calibri" w:hAnsi="Arial" w:cs="Arial"/>
          <w:sz w:val="22"/>
          <w:szCs w:val="22"/>
          <w:lang w:val="es-CL" w:eastAsia="es-CL"/>
        </w:rPr>
        <w:t xml:space="preserve"> al régimen de invariabilidad pactado conforme</w:t>
      </w:r>
      <w:r w:rsidR="00FA374B" w:rsidRPr="00600F1D">
        <w:rPr>
          <w:rFonts w:ascii="Arial" w:eastAsia="Calibri" w:hAnsi="Arial" w:cs="Arial"/>
          <w:sz w:val="22"/>
          <w:szCs w:val="22"/>
          <w:lang w:val="es-CL" w:eastAsia="es-CL"/>
        </w:rPr>
        <w:t xml:space="preserve"> a las normas legales aplicables, esto es:</w:t>
      </w:r>
    </w:p>
    <w:p w:rsidR="00FA374B" w:rsidRPr="00600F1D" w:rsidRDefault="00FA374B" w:rsidP="00EB6F27">
      <w:pPr>
        <w:autoSpaceDE w:val="0"/>
        <w:autoSpaceDN w:val="0"/>
        <w:adjustRightInd w:val="0"/>
        <w:ind w:right="-93"/>
        <w:jc w:val="both"/>
        <w:rPr>
          <w:rFonts w:ascii="Arial" w:eastAsia="Calibri" w:hAnsi="Arial" w:cs="Arial"/>
          <w:sz w:val="22"/>
          <w:szCs w:val="22"/>
          <w:lang w:val="es-CL" w:eastAsia="es-CL"/>
        </w:rPr>
      </w:pPr>
    </w:p>
    <w:p w:rsidR="00F77287" w:rsidRPr="00600F1D" w:rsidRDefault="00616C1C" w:rsidP="00C22DD9">
      <w:pPr>
        <w:numPr>
          <w:ilvl w:val="0"/>
          <w:numId w:val="25"/>
        </w:numPr>
        <w:tabs>
          <w:tab w:val="left" w:pos="284"/>
        </w:tabs>
        <w:autoSpaceDE w:val="0"/>
        <w:autoSpaceDN w:val="0"/>
        <w:adjustRightInd w:val="0"/>
        <w:ind w:left="0" w:right="-93" w:firstLine="0"/>
        <w:jc w:val="both"/>
        <w:rPr>
          <w:rFonts w:ascii="Arial" w:eastAsia="Calibri" w:hAnsi="Arial" w:cs="Arial"/>
          <w:sz w:val="22"/>
          <w:szCs w:val="22"/>
          <w:lang w:val="es-CL" w:eastAsia="es-CL"/>
        </w:rPr>
      </w:pPr>
      <w:r w:rsidRPr="00600F1D">
        <w:rPr>
          <w:rFonts w:ascii="Arial" w:eastAsia="Calibri" w:hAnsi="Arial" w:cs="Arial"/>
          <w:sz w:val="22"/>
          <w:szCs w:val="22"/>
          <w:lang w:val="es-CL" w:eastAsia="es-CL"/>
        </w:rPr>
        <w:t>P</w:t>
      </w:r>
      <w:r w:rsidR="00D20BAF" w:rsidRPr="00600F1D">
        <w:rPr>
          <w:rFonts w:ascii="Arial" w:eastAsia="Calibri" w:hAnsi="Arial" w:cs="Arial"/>
          <w:sz w:val="22"/>
          <w:szCs w:val="22"/>
          <w:lang w:val="es-CL" w:eastAsia="es-CL"/>
        </w:rPr>
        <w:t>odrán acoger el (los) proyecto (s) conexo</w:t>
      </w:r>
      <w:r w:rsidR="00600F1D" w:rsidRPr="00600F1D">
        <w:rPr>
          <w:rFonts w:ascii="Arial" w:eastAsia="Calibri" w:hAnsi="Arial" w:cs="Arial"/>
          <w:sz w:val="22"/>
          <w:szCs w:val="22"/>
          <w:lang w:val="es-CL" w:eastAsia="es-CL"/>
        </w:rPr>
        <w:t xml:space="preserve"> (</w:t>
      </w:r>
      <w:r w:rsidR="00D20BAF" w:rsidRPr="00600F1D">
        <w:rPr>
          <w:rFonts w:ascii="Arial" w:eastAsia="Calibri" w:hAnsi="Arial" w:cs="Arial"/>
          <w:sz w:val="22"/>
          <w:szCs w:val="22"/>
          <w:lang w:val="es-CL" w:eastAsia="es-CL"/>
        </w:rPr>
        <w:t>s</w:t>
      </w:r>
      <w:r w:rsidR="00600F1D" w:rsidRPr="00600F1D">
        <w:rPr>
          <w:rFonts w:ascii="Arial" w:eastAsia="Calibri" w:hAnsi="Arial" w:cs="Arial"/>
          <w:sz w:val="22"/>
          <w:szCs w:val="22"/>
          <w:lang w:val="es-CL" w:eastAsia="es-CL"/>
        </w:rPr>
        <w:t>)</w:t>
      </w:r>
      <w:r w:rsidR="00D20BAF" w:rsidRPr="00600F1D">
        <w:rPr>
          <w:rFonts w:ascii="Arial" w:eastAsia="Calibri" w:hAnsi="Arial" w:cs="Arial"/>
          <w:sz w:val="22"/>
          <w:szCs w:val="22"/>
          <w:lang w:val="es-CL" w:eastAsia="es-CL"/>
        </w:rPr>
        <w:t>, a la invariabilidad tributaria del artículo 11 ter del DL 600</w:t>
      </w:r>
      <w:r w:rsidR="000E2690" w:rsidRPr="00600F1D">
        <w:rPr>
          <w:rFonts w:ascii="Arial" w:eastAsia="Calibri" w:hAnsi="Arial" w:cs="Arial"/>
          <w:sz w:val="22"/>
          <w:szCs w:val="22"/>
          <w:lang w:val="es-CL" w:eastAsia="es-CL"/>
        </w:rPr>
        <w:t>,</w:t>
      </w:r>
      <w:r w:rsidR="00490377">
        <w:rPr>
          <w:rFonts w:ascii="Arial" w:eastAsia="Calibri" w:hAnsi="Arial" w:cs="Arial"/>
          <w:sz w:val="22"/>
          <w:szCs w:val="22"/>
          <w:lang w:val="es-CL" w:eastAsia="es-CL"/>
        </w:rPr>
        <w:t xml:space="preserve"> de 1974,</w:t>
      </w:r>
      <w:r w:rsidR="00F77287" w:rsidRPr="00600F1D">
        <w:rPr>
          <w:rFonts w:ascii="Arial" w:eastAsia="Calibri" w:hAnsi="Arial" w:cs="Arial"/>
          <w:sz w:val="22"/>
          <w:szCs w:val="22"/>
          <w:lang w:val="es-CL" w:eastAsia="es-CL"/>
        </w:rPr>
        <w:t xml:space="preserve"> en los términos que hubiere pactado con el Estado</w:t>
      </w:r>
      <w:r w:rsidR="0078453D" w:rsidRPr="00600F1D">
        <w:rPr>
          <w:rFonts w:ascii="Arial" w:eastAsia="Calibri" w:hAnsi="Arial" w:cs="Arial"/>
          <w:sz w:val="22"/>
          <w:szCs w:val="22"/>
          <w:lang w:val="es-CL" w:eastAsia="es-CL"/>
        </w:rPr>
        <w:t>;</w:t>
      </w:r>
    </w:p>
    <w:p w:rsidR="0078453D" w:rsidRPr="00252C1F" w:rsidRDefault="0078453D" w:rsidP="00C22DD9">
      <w:pPr>
        <w:pStyle w:val="Prrafodelista"/>
        <w:tabs>
          <w:tab w:val="left" w:pos="284"/>
        </w:tabs>
        <w:ind w:left="567"/>
        <w:rPr>
          <w:rFonts w:ascii="Arial" w:eastAsia="Calibri" w:hAnsi="Arial" w:cs="Arial"/>
          <w:sz w:val="22"/>
          <w:szCs w:val="22"/>
          <w:lang w:val="es-CL" w:eastAsia="es-CL"/>
        </w:rPr>
      </w:pPr>
    </w:p>
    <w:p w:rsidR="0078453D" w:rsidRPr="00954BA6" w:rsidRDefault="007A4280" w:rsidP="00C22DD9">
      <w:pPr>
        <w:numPr>
          <w:ilvl w:val="0"/>
          <w:numId w:val="25"/>
        </w:numPr>
        <w:tabs>
          <w:tab w:val="left" w:pos="284"/>
        </w:tabs>
        <w:autoSpaceDE w:val="0"/>
        <w:autoSpaceDN w:val="0"/>
        <w:adjustRightInd w:val="0"/>
        <w:ind w:left="0" w:right="-93" w:firstLine="0"/>
        <w:jc w:val="both"/>
        <w:rPr>
          <w:rFonts w:ascii="Arial" w:eastAsia="Calibri" w:hAnsi="Arial" w:cs="Arial"/>
          <w:sz w:val="22"/>
          <w:szCs w:val="22"/>
          <w:lang w:val="es-CL" w:eastAsia="es-CL"/>
        </w:rPr>
      </w:pPr>
      <w:r w:rsidRPr="00252C1F">
        <w:rPr>
          <w:rFonts w:ascii="Arial" w:eastAsia="Calibri" w:hAnsi="Arial" w:cs="Arial"/>
          <w:sz w:val="22"/>
          <w:szCs w:val="22"/>
          <w:lang w:val="es-CL" w:eastAsia="es-CL"/>
        </w:rPr>
        <w:t>El hecho de que se pueda acoger los proyectos conexos a los beneficios señalados, es sin perjuicio del cumplimiento de la legislación aplicable a los mismos</w:t>
      </w:r>
      <w:r w:rsidR="00600F1D">
        <w:rPr>
          <w:rFonts w:ascii="Arial" w:eastAsia="Calibri" w:hAnsi="Arial" w:cs="Arial"/>
          <w:sz w:val="22"/>
          <w:szCs w:val="22"/>
          <w:lang w:val="es-CL" w:eastAsia="es-CL"/>
        </w:rPr>
        <w:t xml:space="preserve"> (por ejemplo, las normas medioambientales</w:t>
      </w:r>
      <w:r w:rsidR="00954BA6">
        <w:rPr>
          <w:rFonts w:ascii="Arial" w:eastAsia="Calibri" w:hAnsi="Arial" w:cs="Arial"/>
          <w:sz w:val="22"/>
          <w:szCs w:val="22"/>
          <w:lang w:val="es-CL" w:eastAsia="es-CL"/>
        </w:rPr>
        <w:t>, sanitarias, etc</w:t>
      </w:r>
      <w:r w:rsidR="00EC17FB">
        <w:rPr>
          <w:rFonts w:ascii="Arial" w:eastAsia="Calibri" w:hAnsi="Arial" w:cs="Arial"/>
          <w:sz w:val="22"/>
          <w:szCs w:val="22"/>
          <w:lang w:val="es-CL" w:eastAsia="es-CL"/>
        </w:rPr>
        <w:t>.</w:t>
      </w:r>
      <w:r w:rsidR="00954BA6">
        <w:rPr>
          <w:rFonts w:ascii="Arial" w:eastAsia="Calibri" w:hAnsi="Arial" w:cs="Arial"/>
          <w:sz w:val="22"/>
          <w:szCs w:val="22"/>
          <w:lang w:val="es-CL" w:eastAsia="es-CL"/>
        </w:rPr>
        <w:t>)</w:t>
      </w:r>
      <w:r w:rsidR="00600F1D">
        <w:rPr>
          <w:rFonts w:ascii="Arial" w:eastAsia="Calibri" w:hAnsi="Arial" w:cs="Arial"/>
          <w:sz w:val="22"/>
          <w:szCs w:val="22"/>
          <w:lang w:val="es-CL" w:eastAsia="es-CL"/>
        </w:rPr>
        <w:t xml:space="preserve">. </w:t>
      </w:r>
      <w:r w:rsidR="00600F1D" w:rsidRPr="00954BA6">
        <w:rPr>
          <w:rFonts w:ascii="Arial" w:eastAsia="Calibri" w:hAnsi="Arial" w:cs="Arial"/>
          <w:sz w:val="22"/>
          <w:szCs w:val="22"/>
          <w:lang w:val="es-CL" w:eastAsia="es-CL"/>
        </w:rPr>
        <w:t>En este punto, cabe señalar que si el proyecto conexo requiere de una inversión extranjera por un monto superior a la autorizada originalmente, sin perjuicio del derecho a acoger el proyecto a los beneficios señalados, se requerirá la celebración de un nuevo contrato de inversión extranjera por el aumento de la inversión, ello para cumplir lo dispuesto por el DL 600, de 1974, que constituye obviamente legislación aplicable al mismo en los términos que señala la Ley 20.469</w:t>
      </w:r>
      <w:r w:rsidRPr="00954BA6">
        <w:rPr>
          <w:rFonts w:ascii="Arial" w:eastAsia="Calibri" w:hAnsi="Arial" w:cs="Arial"/>
          <w:sz w:val="22"/>
          <w:szCs w:val="22"/>
          <w:lang w:val="es-CL" w:eastAsia="es-CL"/>
        </w:rPr>
        <w:t>;</w:t>
      </w:r>
    </w:p>
    <w:p w:rsidR="0090533E" w:rsidRPr="00252C1F" w:rsidRDefault="0090533E" w:rsidP="00C22DD9">
      <w:pPr>
        <w:tabs>
          <w:tab w:val="left" w:pos="284"/>
        </w:tabs>
        <w:autoSpaceDE w:val="0"/>
        <w:autoSpaceDN w:val="0"/>
        <w:adjustRightInd w:val="0"/>
        <w:ind w:left="567" w:right="-93"/>
        <w:jc w:val="both"/>
        <w:rPr>
          <w:rFonts w:ascii="Arial" w:eastAsia="Calibri" w:hAnsi="Arial" w:cs="Arial"/>
          <w:sz w:val="22"/>
          <w:szCs w:val="22"/>
          <w:lang w:val="es-CL" w:eastAsia="es-CL"/>
        </w:rPr>
      </w:pPr>
    </w:p>
    <w:p w:rsidR="00EB6F27" w:rsidRPr="00252C1F" w:rsidRDefault="0078453D" w:rsidP="00C22DD9">
      <w:pPr>
        <w:numPr>
          <w:ilvl w:val="0"/>
          <w:numId w:val="25"/>
        </w:numPr>
        <w:tabs>
          <w:tab w:val="left" w:pos="284"/>
        </w:tabs>
        <w:autoSpaceDE w:val="0"/>
        <w:autoSpaceDN w:val="0"/>
        <w:adjustRightInd w:val="0"/>
        <w:ind w:left="0" w:right="-93" w:firstLine="0"/>
        <w:jc w:val="both"/>
        <w:rPr>
          <w:rFonts w:ascii="Arial" w:eastAsia="Calibri" w:hAnsi="Arial" w:cs="Arial"/>
          <w:sz w:val="22"/>
          <w:szCs w:val="22"/>
          <w:lang w:val="es-CL" w:eastAsia="es-CL"/>
        </w:rPr>
      </w:pPr>
      <w:r w:rsidRPr="00252C1F" w:rsidDel="0078453D">
        <w:rPr>
          <w:rFonts w:ascii="Arial" w:eastAsia="Calibri" w:hAnsi="Arial" w:cs="Arial"/>
          <w:sz w:val="22"/>
          <w:szCs w:val="22"/>
          <w:lang w:val="es-CL" w:eastAsia="es-CL"/>
        </w:rPr>
        <w:t xml:space="preserve"> </w:t>
      </w:r>
      <w:r w:rsidR="00EB6F27" w:rsidRPr="00252C1F">
        <w:rPr>
          <w:rFonts w:ascii="Arial" w:eastAsia="Calibri" w:hAnsi="Arial" w:cs="Arial"/>
          <w:sz w:val="22"/>
          <w:szCs w:val="22"/>
          <w:lang w:val="es-CL" w:eastAsia="es-CL"/>
        </w:rPr>
        <w:t xml:space="preserve">Para ejercer </w:t>
      </w:r>
      <w:r w:rsidR="008C3B36">
        <w:rPr>
          <w:rFonts w:ascii="Arial" w:eastAsia="Calibri" w:hAnsi="Arial" w:cs="Arial"/>
          <w:sz w:val="22"/>
          <w:szCs w:val="22"/>
          <w:lang w:val="es-CL" w:eastAsia="es-CL"/>
        </w:rPr>
        <w:t>este</w:t>
      </w:r>
      <w:r w:rsidR="00EB6F27" w:rsidRPr="00252C1F">
        <w:rPr>
          <w:rFonts w:ascii="Arial" w:eastAsia="Calibri" w:hAnsi="Arial" w:cs="Arial"/>
          <w:sz w:val="22"/>
          <w:szCs w:val="22"/>
          <w:lang w:val="es-CL" w:eastAsia="es-CL"/>
        </w:rPr>
        <w:t xml:space="preserve"> derecho</w:t>
      </w:r>
      <w:r w:rsidR="00270078">
        <w:rPr>
          <w:rFonts w:ascii="Arial" w:eastAsia="Calibri" w:hAnsi="Arial" w:cs="Arial"/>
          <w:sz w:val="22"/>
          <w:szCs w:val="22"/>
          <w:lang w:val="es-CL" w:eastAsia="es-CL"/>
        </w:rPr>
        <w:t>,</w:t>
      </w:r>
      <w:r w:rsidR="00EB6F27" w:rsidRPr="00252C1F">
        <w:rPr>
          <w:rFonts w:ascii="Arial" w:eastAsia="Calibri" w:hAnsi="Arial" w:cs="Arial"/>
          <w:sz w:val="22"/>
          <w:szCs w:val="22"/>
          <w:lang w:val="es-CL" w:eastAsia="es-CL"/>
        </w:rPr>
        <w:t xml:space="preserve"> los inversionistas deben presentar la solicitud respectiva al </w:t>
      </w:r>
      <w:r w:rsidR="00EB6F27" w:rsidRPr="00270078">
        <w:rPr>
          <w:rFonts w:ascii="Arial" w:eastAsia="Calibri" w:hAnsi="Arial" w:cs="Arial"/>
          <w:b/>
          <w:sz w:val="22"/>
          <w:szCs w:val="22"/>
          <w:lang w:val="es-CL" w:eastAsia="es-CL"/>
        </w:rPr>
        <w:t>CIE</w:t>
      </w:r>
      <w:r w:rsidR="008C3B36" w:rsidRPr="008C3B36">
        <w:rPr>
          <w:rFonts w:ascii="Arial" w:eastAsia="Calibri" w:hAnsi="Arial" w:cs="Arial"/>
          <w:sz w:val="22"/>
          <w:szCs w:val="22"/>
          <w:lang w:val="es-CL" w:eastAsia="es-CL"/>
        </w:rPr>
        <w:t xml:space="preserve"> o al Ministerio de Econom</w:t>
      </w:r>
      <w:r w:rsidR="008C3B36">
        <w:rPr>
          <w:rFonts w:ascii="Arial" w:eastAsia="Calibri" w:hAnsi="Arial" w:cs="Arial"/>
          <w:sz w:val="22"/>
          <w:szCs w:val="22"/>
          <w:lang w:val="es-CL" w:eastAsia="es-CL"/>
        </w:rPr>
        <w:t>í</w:t>
      </w:r>
      <w:r w:rsidR="008C3B36" w:rsidRPr="008C3B36">
        <w:rPr>
          <w:rFonts w:ascii="Arial" w:eastAsia="Calibri" w:hAnsi="Arial" w:cs="Arial"/>
          <w:sz w:val="22"/>
          <w:szCs w:val="22"/>
          <w:lang w:val="es-CL" w:eastAsia="es-CL"/>
        </w:rPr>
        <w:t>a, Fomento y Turismo, según se a el caso</w:t>
      </w:r>
      <w:r w:rsidR="00EB6F27" w:rsidRPr="00252C1F">
        <w:rPr>
          <w:rFonts w:ascii="Arial" w:eastAsia="Calibri" w:hAnsi="Arial" w:cs="Arial"/>
          <w:sz w:val="22"/>
          <w:szCs w:val="22"/>
          <w:lang w:val="es-CL" w:eastAsia="es-CL"/>
        </w:rPr>
        <w:t>, identificando los proyectos mineros conexos</w:t>
      </w:r>
      <w:r w:rsidRPr="00252C1F">
        <w:rPr>
          <w:rFonts w:ascii="Arial" w:eastAsia="Calibri" w:hAnsi="Arial" w:cs="Arial"/>
          <w:sz w:val="22"/>
          <w:szCs w:val="22"/>
          <w:lang w:val="es-CL" w:eastAsia="es-CL"/>
        </w:rPr>
        <w:t>;</w:t>
      </w:r>
    </w:p>
    <w:p w:rsidR="005360C6" w:rsidRPr="00252C1F" w:rsidRDefault="005360C6" w:rsidP="00C22DD9">
      <w:pPr>
        <w:tabs>
          <w:tab w:val="left" w:pos="284"/>
        </w:tabs>
        <w:autoSpaceDE w:val="0"/>
        <w:autoSpaceDN w:val="0"/>
        <w:adjustRightInd w:val="0"/>
        <w:ind w:left="567" w:right="-93"/>
        <w:jc w:val="both"/>
        <w:rPr>
          <w:rFonts w:ascii="Arial" w:eastAsia="Calibri" w:hAnsi="Arial" w:cs="Arial"/>
          <w:sz w:val="22"/>
          <w:szCs w:val="22"/>
          <w:lang w:val="es-CL" w:eastAsia="es-CL"/>
        </w:rPr>
      </w:pPr>
    </w:p>
    <w:p w:rsidR="00EB6F27" w:rsidRPr="00252C1F" w:rsidRDefault="00004F06" w:rsidP="00C22DD9">
      <w:pPr>
        <w:numPr>
          <w:ilvl w:val="0"/>
          <w:numId w:val="25"/>
        </w:numPr>
        <w:tabs>
          <w:tab w:val="left" w:pos="284"/>
        </w:tabs>
        <w:autoSpaceDE w:val="0"/>
        <w:autoSpaceDN w:val="0"/>
        <w:adjustRightInd w:val="0"/>
        <w:ind w:left="0" w:right="-93" w:firstLine="0"/>
        <w:jc w:val="both"/>
        <w:rPr>
          <w:rFonts w:ascii="Arial" w:eastAsia="Calibri" w:hAnsi="Arial" w:cs="Arial"/>
          <w:sz w:val="22"/>
          <w:szCs w:val="22"/>
          <w:lang w:val="es-CL" w:eastAsia="es-CL"/>
        </w:rPr>
      </w:pPr>
      <w:r w:rsidRPr="00252C1F">
        <w:rPr>
          <w:rFonts w:ascii="Arial" w:eastAsia="Calibri" w:hAnsi="Arial" w:cs="Arial"/>
          <w:sz w:val="22"/>
          <w:szCs w:val="22"/>
          <w:lang w:val="es-CL" w:eastAsia="es-CL"/>
        </w:rPr>
        <w:t>Para estos efectos, s</w:t>
      </w:r>
      <w:r w:rsidR="00EB6F27" w:rsidRPr="00252C1F">
        <w:rPr>
          <w:rFonts w:ascii="Arial" w:eastAsia="Calibri" w:hAnsi="Arial" w:cs="Arial"/>
          <w:sz w:val="22"/>
          <w:szCs w:val="22"/>
          <w:lang w:val="es-CL" w:eastAsia="es-CL"/>
        </w:rPr>
        <w:t>e entenderá por proyecto minero conexo aquel que sea parte de una misma unidad</w:t>
      </w:r>
      <w:r w:rsidR="005360C6" w:rsidRPr="00252C1F">
        <w:rPr>
          <w:rFonts w:ascii="Arial" w:eastAsia="Calibri" w:hAnsi="Arial" w:cs="Arial"/>
          <w:sz w:val="22"/>
          <w:szCs w:val="22"/>
          <w:lang w:val="es-CL" w:eastAsia="es-CL"/>
        </w:rPr>
        <w:t xml:space="preserve"> </w:t>
      </w:r>
      <w:r w:rsidR="00EB6F27" w:rsidRPr="00252C1F">
        <w:rPr>
          <w:rFonts w:ascii="Arial" w:eastAsia="Calibri" w:hAnsi="Arial" w:cs="Arial"/>
          <w:sz w:val="22"/>
          <w:szCs w:val="22"/>
          <w:lang w:val="es-CL" w:eastAsia="es-CL"/>
        </w:rPr>
        <w:t>económica de explotación minera, por su proximidad física, por la utilización común</w:t>
      </w:r>
      <w:r w:rsidR="005360C6" w:rsidRPr="00252C1F">
        <w:rPr>
          <w:rFonts w:ascii="Arial" w:eastAsia="Calibri" w:hAnsi="Arial" w:cs="Arial"/>
          <w:sz w:val="22"/>
          <w:szCs w:val="22"/>
          <w:lang w:val="es-CL" w:eastAsia="es-CL"/>
        </w:rPr>
        <w:t xml:space="preserve"> </w:t>
      </w:r>
      <w:r w:rsidR="00EB6F27" w:rsidRPr="00252C1F">
        <w:rPr>
          <w:rFonts w:ascii="Arial" w:eastAsia="Calibri" w:hAnsi="Arial" w:cs="Arial"/>
          <w:sz w:val="22"/>
          <w:szCs w:val="22"/>
          <w:lang w:val="es-CL" w:eastAsia="es-CL"/>
        </w:rPr>
        <w:t>de caminos, recursos hídricos, plantas de beneficio, infraestructura eléctrica o de</w:t>
      </w:r>
      <w:r w:rsidR="005360C6" w:rsidRPr="00252C1F">
        <w:rPr>
          <w:rFonts w:ascii="Arial" w:eastAsia="Calibri" w:hAnsi="Arial" w:cs="Arial"/>
          <w:sz w:val="22"/>
          <w:szCs w:val="22"/>
          <w:lang w:val="es-CL" w:eastAsia="es-CL"/>
        </w:rPr>
        <w:t xml:space="preserve"> </w:t>
      </w:r>
      <w:r w:rsidR="00EB6F27" w:rsidRPr="00252C1F">
        <w:rPr>
          <w:rFonts w:ascii="Arial" w:eastAsia="Calibri" w:hAnsi="Arial" w:cs="Arial"/>
          <w:sz w:val="22"/>
          <w:szCs w:val="22"/>
          <w:lang w:val="es-CL" w:eastAsia="es-CL"/>
        </w:rPr>
        <w:t>transporte u otros similares. Se considerarán como parte del proyecto minero conexo las</w:t>
      </w:r>
      <w:r w:rsidR="005360C6" w:rsidRPr="00252C1F">
        <w:rPr>
          <w:rFonts w:ascii="Arial" w:eastAsia="Calibri" w:hAnsi="Arial" w:cs="Arial"/>
          <w:sz w:val="22"/>
          <w:szCs w:val="22"/>
          <w:lang w:val="es-CL" w:eastAsia="es-CL"/>
        </w:rPr>
        <w:t xml:space="preserve"> </w:t>
      </w:r>
      <w:r w:rsidR="00EB6F27" w:rsidRPr="00252C1F">
        <w:rPr>
          <w:rFonts w:ascii="Arial" w:eastAsia="Calibri" w:hAnsi="Arial" w:cs="Arial"/>
          <w:sz w:val="22"/>
          <w:szCs w:val="22"/>
          <w:lang w:val="es-CL" w:eastAsia="es-CL"/>
        </w:rPr>
        <w:t>pertenencias mineras identificadas en la solicitud respectiva, aun cuando, a la fecha de</w:t>
      </w:r>
      <w:r w:rsidR="005360C6" w:rsidRPr="00252C1F">
        <w:rPr>
          <w:rFonts w:ascii="Arial" w:eastAsia="Calibri" w:hAnsi="Arial" w:cs="Arial"/>
          <w:sz w:val="22"/>
          <w:szCs w:val="22"/>
          <w:lang w:val="es-CL" w:eastAsia="es-CL"/>
        </w:rPr>
        <w:t xml:space="preserve"> </w:t>
      </w:r>
      <w:r w:rsidR="00EB6F27" w:rsidRPr="00252C1F">
        <w:rPr>
          <w:rFonts w:ascii="Arial" w:eastAsia="Calibri" w:hAnsi="Arial" w:cs="Arial"/>
          <w:sz w:val="22"/>
          <w:szCs w:val="22"/>
          <w:lang w:val="es-CL" w:eastAsia="es-CL"/>
        </w:rPr>
        <w:t>la misma, no pertenezcan a la empresa receptora de la inversión, siempre que a la época</w:t>
      </w:r>
      <w:r w:rsidR="005360C6" w:rsidRPr="00252C1F">
        <w:rPr>
          <w:rFonts w:ascii="Arial" w:eastAsia="Calibri" w:hAnsi="Arial" w:cs="Arial"/>
          <w:sz w:val="22"/>
          <w:szCs w:val="22"/>
          <w:lang w:val="es-CL" w:eastAsia="es-CL"/>
        </w:rPr>
        <w:t xml:space="preserve"> </w:t>
      </w:r>
      <w:r w:rsidR="00EB6F27" w:rsidRPr="00252C1F">
        <w:rPr>
          <w:rFonts w:ascii="Arial" w:eastAsia="Calibri" w:hAnsi="Arial" w:cs="Arial"/>
          <w:sz w:val="22"/>
          <w:szCs w:val="22"/>
          <w:lang w:val="es-CL" w:eastAsia="es-CL"/>
        </w:rPr>
        <w:t>de comenzar la explotación del proyecto minero, hayan sido adquiridas por ésta en su</w:t>
      </w:r>
      <w:r w:rsidR="005360C6" w:rsidRPr="00252C1F">
        <w:rPr>
          <w:rFonts w:ascii="Arial" w:eastAsia="Calibri" w:hAnsi="Arial" w:cs="Arial"/>
          <w:sz w:val="22"/>
          <w:szCs w:val="22"/>
          <w:lang w:val="es-CL" w:eastAsia="es-CL"/>
        </w:rPr>
        <w:t xml:space="preserve"> </w:t>
      </w:r>
      <w:r w:rsidR="00EB6F27" w:rsidRPr="00252C1F">
        <w:rPr>
          <w:rFonts w:ascii="Arial" w:eastAsia="Calibri" w:hAnsi="Arial" w:cs="Arial"/>
          <w:sz w:val="22"/>
          <w:szCs w:val="22"/>
          <w:lang w:val="es-CL" w:eastAsia="es-CL"/>
        </w:rPr>
        <w:t>totalidad</w:t>
      </w:r>
      <w:r w:rsidR="009D79EA" w:rsidRPr="00252C1F">
        <w:rPr>
          <w:rFonts w:ascii="Arial" w:eastAsia="Calibri" w:hAnsi="Arial" w:cs="Arial"/>
          <w:sz w:val="22"/>
          <w:szCs w:val="22"/>
          <w:lang w:val="es-CL" w:eastAsia="es-CL"/>
        </w:rPr>
        <w:t>;</w:t>
      </w:r>
    </w:p>
    <w:p w:rsidR="00F37DBC" w:rsidRPr="00252C1F" w:rsidRDefault="00F37DBC" w:rsidP="00683774">
      <w:pPr>
        <w:tabs>
          <w:tab w:val="left" w:pos="284"/>
        </w:tabs>
        <w:autoSpaceDE w:val="0"/>
        <w:autoSpaceDN w:val="0"/>
        <w:adjustRightInd w:val="0"/>
        <w:ind w:right="-93"/>
        <w:jc w:val="both"/>
        <w:rPr>
          <w:rFonts w:ascii="Arial" w:eastAsia="Calibri" w:hAnsi="Arial" w:cs="Arial"/>
          <w:sz w:val="22"/>
          <w:szCs w:val="22"/>
          <w:lang w:val="es-CL" w:eastAsia="es-CL"/>
        </w:rPr>
      </w:pPr>
    </w:p>
    <w:p w:rsidR="00E545DA" w:rsidRPr="00252C1F" w:rsidRDefault="00954BA6" w:rsidP="00C22DD9">
      <w:pPr>
        <w:numPr>
          <w:ilvl w:val="0"/>
          <w:numId w:val="25"/>
        </w:numPr>
        <w:tabs>
          <w:tab w:val="left" w:pos="284"/>
        </w:tabs>
        <w:autoSpaceDE w:val="0"/>
        <w:autoSpaceDN w:val="0"/>
        <w:adjustRightInd w:val="0"/>
        <w:ind w:left="0" w:right="-93" w:firstLine="0"/>
        <w:jc w:val="both"/>
        <w:rPr>
          <w:rFonts w:ascii="Arial" w:eastAsia="Calibri" w:hAnsi="Arial" w:cs="Arial"/>
          <w:sz w:val="22"/>
          <w:szCs w:val="22"/>
          <w:lang w:val="es-CL" w:eastAsia="es-CL"/>
        </w:rPr>
      </w:pPr>
      <w:r>
        <w:rPr>
          <w:rFonts w:ascii="Arial" w:eastAsia="Calibri" w:hAnsi="Arial" w:cs="Arial"/>
          <w:sz w:val="22"/>
          <w:szCs w:val="22"/>
          <w:lang w:val="es-CL" w:eastAsia="es-CL"/>
        </w:rPr>
        <w:t>L</w:t>
      </w:r>
      <w:r w:rsidR="00E545DA" w:rsidRPr="00252C1F">
        <w:rPr>
          <w:rFonts w:ascii="Arial" w:eastAsia="Calibri" w:hAnsi="Arial" w:cs="Arial"/>
          <w:sz w:val="22"/>
          <w:szCs w:val="22"/>
          <w:lang w:val="es-CL" w:eastAsia="es-CL"/>
        </w:rPr>
        <w:t xml:space="preserve">os inversionistas extranjeros y las empresas que hayan suscrito un contrato de invariabilidad tributaria del artículo 5° transitorio de la </w:t>
      </w:r>
      <w:r w:rsidR="00EB57F1" w:rsidRPr="00252C1F">
        <w:rPr>
          <w:rFonts w:ascii="Arial" w:eastAsia="Calibri" w:hAnsi="Arial" w:cs="Arial"/>
          <w:sz w:val="22"/>
          <w:szCs w:val="22"/>
          <w:lang w:val="es-CL" w:eastAsia="es-CL"/>
        </w:rPr>
        <w:t>L</w:t>
      </w:r>
      <w:r w:rsidR="00E545DA" w:rsidRPr="00252C1F">
        <w:rPr>
          <w:rFonts w:ascii="Arial" w:eastAsia="Calibri" w:hAnsi="Arial" w:cs="Arial"/>
          <w:sz w:val="22"/>
          <w:szCs w:val="22"/>
          <w:lang w:val="es-CL" w:eastAsia="es-CL"/>
        </w:rPr>
        <w:t xml:space="preserve">ey 20.026, según sea el caso, en la solicitud de extensión de invariabilidad de proyectos conexos, deberán informar al </w:t>
      </w:r>
      <w:r w:rsidR="00E545DA" w:rsidRPr="00426577">
        <w:rPr>
          <w:rFonts w:ascii="Arial" w:eastAsia="Calibri" w:hAnsi="Arial" w:cs="Arial"/>
          <w:b/>
          <w:sz w:val="22"/>
          <w:szCs w:val="22"/>
          <w:lang w:val="es-CL" w:eastAsia="es-CL"/>
        </w:rPr>
        <w:t>CIE</w:t>
      </w:r>
      <w:r w:rsidR="00E545DA" w:rsidRPr="00252C1F">
        <w:rPr>
          <w:rFonts w:ascii="Arial" w:eastAsia="Calibri" w:hAnsi="Arial" w:cs="Arial"/>
          <w:sz w:val="22"/>
          <w:szCs w:val="22"/>
          <w:lang w:val="es-CL" w:eastAsia="es-CL"/>
        </w:rPr>
        <w:t xml:space="preserve"> o al Ministerio de Economía, Fomento y Turismo, las pertenencias mineras que efectivamente hayan adquirido con posterioridad a la solicitud referida en los artículos </w:t>
      </w:r>
      <w:r w:rsidR="00426577">
        <w:rPr>
          <w:rFonts w:ascii="Arial" w:eastAsia="Calibri" w:hAnsi="Arial" w:cs="Arial"/>
          <w:sz w:val="22"/>
          <w:szCs w:val="22"/>
          <w:lang w:val="es-CL" w:eastAsia="es-CL"/>
        </w:rPr>
        <w:t>3°</w:t>
      </w:r>
      <w:r w:rsidR="00E545DA" w:rsidRPr="00252C1F">
        <w:rPr>
          <w:rFonts w:ascii="Arial" w:eastAsia="Calibri" w:hAnsi="Arial" w:cs="Arial"/>
          <w:sz w:val="22"/>
          <w:szCs w:val="22"/>
          <w:lang w:val="es-CL" w:eastAsia="es-CL"/>
        </w:rPr>
        <w:t xml:space="preserve">, </w:t>
      </w:r>
      <w:r w:rsidR="00426577">
        <w:rPr>
          <w:rFonts w:ascii="Arial" w:eastAsia="Calibri" w:hAnsi="Arial" w:cs="Arial"/>
          <w:sz w:val="22"/>
          <w:szCs w:val="22"/>
          <w:lang w:val="es-CL" w:eastAsia="es-CL"/>
        </w:rPr>
        <w:t>4°</w:t>
      </w:r>
      <w:r w:rsidR="00E545DA" w:rsidRPr="00252C1F">
        <w:rPr>
          <w:rFonts w:ascii="Arial" w:eastAsia="Calibri" w:hAnsi="Arial" w:cs="Arial"/>
          <w:sz w:val="22"/>
          <w:szCs w:val="22"/>
          <w:lang w:val="es-CL" w:eastAsia="es-CL"/>
        </w:rPr>
        <w:t xml:space="preserve"> y </w:t>
      </w:r>
      <w:r w:rsidR="00426577">
        <w:rPr>
          <w:rFonts w:ascii="Arial" w:eastAsia="Calibri" w:hAnsi="Arial" w:cs="Arial"/>
          <w:sz w:val="22"/>
          <w:szCs w:val="22"/>
          <w:lang w:val="es-CL" w:eastAsia="es-CL"/>
        </w:rPr>
        <w:t>5°</w:t>
      </w:r>
      <w:r w:rsidR="00E545DA" w:rsidRPr="00252C1F">
        <w:rPr>
          <w:rFonts w:ascii="Arial" w:eastAsia="Calibri" w:hAnsi="Arial" w:cs="Arial"/>
          <w:sz w:val="22"/>
          <w:szCs w:val="22"/>
          <w:lang w:val="es-CL" w:eastAsia="es-CL"/>
        </w:rPr>
        <w:t xml:space="preserve"> transitorios de la </w:t>
      </w:r>
      <w:r w:rsidR="00582CA5" w:rsidRPr="00252C1F">
        <w:rPr>
          <w:rFonts w:ascii="Arial" w:eastAsia="Calibri" w:hAnsi="Arial" w:cs="Arial"/>
          <w:sz w:val="22"/>
          <w:szCs w:val="22"/>
          <w:lang w:val="es-CL" w:eastAsia="es-CL"/>
        </w:rPr>
        <w:t>L</w:t>
      </w:r>
      <w:r w:rsidR="00E545DA" w:rsidRPr="00252C1F">
        <w:rPr>
          <w:rFonts w:ascii="Arial" w:eastAsia="Calibri" w:hAnsi="Arial" w:cs="Arial"/>
          <w:sz w:val="22"/>
          <w:szCs w:val="22"/>
          <w:lang w:val="es-CL" w:eastAsia="es-CL"/>
        </w:rPr>
        <w:t>ey 20.026</w:t>
      </w:r>
      <w:r w:rsidR="009D79EA" w:rsidRPr="00252C1F">
        <w:rPr>
          <w:rFonts w:ascii="Arial" w:eastAsia="Calibri" w:hAnsi="Arial" w:cs="Arial"/>
          <w:sz w:val="22"/>
          <w:szCs w:val="22"/>
          <w:lang w:val="es-CL" w:eastAsia="es-CL"/>
        </w:rPr>
        <w:t>;</w:t>
      </w:r>
    </w:p>
    <w:p w:rsidR="00E545DA" w:rsidRPr="00252C1F" w:rsidRDefault="00E545DA" w:rsidP="00C22DD9">
      <w:pPr>
        <w:tabs>
          <w:tab w:val="left" w:pos="284"/>
        </w:tabs>
        <w:autoSpaceDE w:val="0"/>
        <w:autoSpaceDN w:val="0"/>
        <w:adjustRightInd w:val="0"/>
        <w:ind w:left="567" w:right="-93"/>
        <w:jc w:val="both"/>
        <w:rPr>
          <w:rFonts w:ascii="Arial" w:eastAsia="Calibri" w:hAnsi="Arial" w:cs="Arial"/>
          <w:sz w:val="22"/>
          <w:szCs w:val="22"/>
          <w:lang w:val="es-CL" w:eastAsia="es-CL"/>
        </w:rPr>
      </w:pPr>
    </w:p>
    <w:p w:rsidR="00E545DA" w:rsidRPr="00252C1F" w:rsidRDefault="00E545DA" w:rsidP="00C22DD9">
      <w:pPr>
        <w:numPr>
          <w:ilvl w:val="0"/>
          <w:numId w:val="25"/>
        </w:numPr>
        <w:tabs>
          <w:tab w:val="left" w:pos="284"/>
        </w:tabs>
        <w:autoSpaceDE w:val="0"/>
        <w:autoSpaceDN w:val="0"/>
        <w:adjustRightInd w:val="0"/>
        <w:ind w:left="0" w:right="-93" w:firstLine="0"/>
        <w:jc w:val="both"/>
        <w:rPr>
          <w:rFonts w:ascii="Arial" w:eastAsia="Calibri" w:hAnsi="Arial" w:cs="Arial"/>
          <w:sz w:val="22"/>
          <w:szCs w:val="22"/>
          <w:lang w:val="es-CL" w:eastAsia="es-CL"/>
        </w:rPr>
      </w:pPr>
      <w:r w:rsidRPr="00252C1F">
        <w:rPr>
          <w:rFonts w:ascii="Arial" w:eastAsia="Calibri" w:hAnsi="Arial" w:cs="Arial"/>
          <w:sz w:val="22"/>
          <w:szCs w:val="22"/>
          <w:lang w:val="es-CL" w:eastAsia="es-CL"/>
        </w:rPr>
        <w:t xml:space="preserve">La solicitud de extensión de invariabilidad de proyectos conexos deberá presentarse </w:t>
      </w:r>
      <w:r w:rsidR="00A45A5B">
        <w:rPr>
          <w:rFonts w:ascii="Arial" w:eastAsia="Calibri" w:hAnsi="Arial" w:cs="Arial"/>
          <w:sz w:val="22"/>
          <w:szCs w:val="22"/>
          <w:lang w:val="es-CL" w:eastAsia="es-CL"/>
        </w:rPr>
        <w:t>en la oportunidad que establece el inciso 10°, del artículo 3° transitorio, de la Ley 20.469</w:t>
      </w:r>
      <w:r w:rsidR="009D79EA" w:rsidRPr="00252C1F">
        <w:rPr>
          <w:rFonts w:ascii="Arial" w:eastAsia="Calibri" w:hAnsi="Arial" w:cs="Arial"/>
          <w:sz w:val="22"/>
          <w:szCs w:val="22"/>
          <w:lang w:val="es-CL" w:eastAsia="es-CL"/>
        </w:rPr>
        <w:t>;</w:t>
      </w:r>
    </w:p>
    <w:p w:rsidR="00E545DA" w:rsidRPr="00252C1F" w:rsidRDefault="00E545DA" w:rsidP="00C22DD9">
      <w:pPr>
        <w:tabs>
          <w:tab w:val="left" w:pos="284"/>
        </w:tabs>
        <w:autoSpaceDE w:val="0"/>
        <w:autoSpaceDN w:val="0"/>
        <w:adjustRightInd w:val="0"/>
        <w:ind w:right="-93"/>
        <w:jc w:val="both"/>
        <w:rPr>
          <w:rFonts w:ascii="Arial" w:eastAsia="Calibri" w:hAnsi="Arial" w:cs="Arial"/>
          <w:sz w:val="22"/>
          <w:szCs w:val="22"/>
          <w:lang w:val="es-CL" w:eastAsia="es-CL"/>
        </w:rPr>
      </w:pPr>
    </w:p>
    <w:p w:rsidR="00E545DA" w:rsidRPr="00252C1F" w:rsidRDefault="00E545DA" w:rsidP="00C22DD9">
      <w:pPr>
        <w:numPr>
          <w:ilvl w:val="0"/>
          <w:numId w:val="25"/>
        </w:numPr>
        <w:tabs>
          <w:tab w:val="left" w:pos="284"/>
        </w:tabs>
        <w:autoSpaceDE w:val="0"/>
        <w:autoSpaceDN w:val="0"/>
        <w:adjustRightInd w:val="0"/>
        <w:ind w:left="0" w:right="-93" w:firstLine="0"/>
        <w:jc w:val="both"/>
        <w:rPr>
          <w:rFonts w:ascii="Arial" w:eastAsia="Calibri" w:hAnsi="Arial" w:cs="Arial"/>
          <w:sz w:val="22"/>
          <w:szCs w:val="22"/>
          <w:lang w:val="es-CL" w:eastAsia="es-CL"/>
        </w:rPr>
      </w:pPr>
      <w:r w:rsidRPr="00252C1F">
        <w:rPr>
          <w:rFonts w:ascii="Arial" w:eastAsia="Calibri" w:hAnsi="Arial" w:cs="Arial"/>
          <w:sz w:val="22"/>
          <w:szCs w:val="22"/>
          <w:lang w:val="es-CL" w:eastAsia="es-CL"/>
        </w:rPr>
        <w:t xml:space="preserve">El </w:t>
      </w:r>
      <w:r w:rsidRPr="00AD57D1">
        <w:rPr>
          <w:rFonts w:ascii="Arial" w:eastAsia="Calibri" w:hAnsi="Arial" w:cs="Arial"/>
          <w:b/>
          <w:sz w:val="22"/>
          <w:szCs w:val="22"/>
          <w:lang w:val="es-CL" w:eastAsia="es-CL"/>
        </w:rPr>
        <w:t>CIE</w:t>
      </w:r>
      <w:r w:rsidRPr="00252C1F">
        <w:rPr>
          <w:rFonts w:ascii="Arial" w:eastAsia="Calibri" w:hAnsi="Arial" w:cs="Arial"/>
          <w:sz w:val="22"/>
          <w:szCs w:val="22"/>
          <w:lang w:val="es-CL" w:eastAsia="es-CL"/>
        </w:rPr>
        <w:t xml:space="preserve"> o el Ministerio de Economía, Fomento y Turismo, en su caso, deberán solicitar informes técnicos sobre </w:t>
      </w:r>
      <w:r w:rsidR="00A45A5B">
        <w:rPr>
          <w:rFonts w:ascii="Arial" w:eastAsia="Calibri" w:hAnsi="Arial" w:cs="Arial"/>
          <w:sz w:val="22"/>
          <w:szCs w:val="22"/>
          <w:lang w:val="es-CL" w:eastAsia="es-CL"/>
        </w:rPr>
        <w:t>estas</w:t>
      </w:r>
      <w:r w:rsidRPr="00252C1F">
        <w:rPr>
          <w:rFonts w:ascii="Arial" w:eastAsia="Calibri" w:hAnsi="Arial" w:cs="Arial"/>
          <w:sz w:val="22"/>
          <w:szCs w:val="22"/>
          <w:lang w:val="es-CL" w:eastAsia="es-CL"/>
        </w:rPr>
        <w:t xml:space="preserve"> solicitudes al </w:t>
      </w:r>
      <w:r w:rsidRPr="00EC579C">
        <w:rPr>
          <w:rFonts w:ascii="Arial" w:eastAsia="Calibri" w:hAnsi="Arial" w:cs="Arial"/>
          <w:b/>
          <w:sz w:val="22"/>
          <w:szCs w:val="22"/>
          <w:lang w:val="es-CL" w:eastAsia="es-CL"/>
        </w:rPr>
        <w:t>S</w:t>
      </w:r>
      <w:r w:rsidR="001D4586" w:rsidRPr="00EC579C">
        <w:rPr>
          <w:rFonts w:ascii="Arial" w:eastAsia="Calibri" w:hAnsi="Arial" w:cs="Arial"/>
          <w:b/>
          <w:sz w:val="22"/>
          <w:szCs w:val="22"/>
          <w:lang w:val="es-CL" w:eastAsia="es-CL"/>
        </w:rPr>
        <w:t>ERNAGEOMIN</w:t>
      </w:r>
      <w:r w:rsidRPr="00252C1F">
        <w:rPr>
          <w:rFonts w:ascii="Arial" w:eastAsia="Calibri" w:hAnsi="Arial" w:cs="Arial"/>
          <w:sz w:val="22"/>
          <w:szCs w:val="22"/>
          <w:lang w:val="es-CL" w:eastAsia="es-CL"/>
        </w:rPr>
        <w:t xml:space="preserve"> o a </w:t>
      </w:r>
      <w:r w:rsidRPr="00EC579C">
        <w:rPr>
          <w:rFonts w:ascii="Arial" w:eastAsia="Calibri" w:hAnsi="Arial" w:cs="Arial"/>
          <w:b/>
          <w:sz w:val="22"/>
          <w:szCs w:val="22"/>
          <w:lang w:val="es-CL" w:eastAsia="es-CL"/>
        </w:rPr>
        <w:t>C</w:t>
      </w:r>
      <w:r w:rsidR="001D4586" w:rsidRPr="00EC579C">
        <w:rPr>
          <w:rFonts w:ascii="Arial" w:eastAsia="Calibri" w:hAnsi="Arial" w:cs="Arial"/>
          <w:b/>
          <w:sz w:val="22"/>
          <w:szCs w:val="22"/>
          <w:lang w:val="es-CL" w:eastAsia="es-CL"/>
        </w:rPr>
        <w:t>OCHILCO</w:t>
      </w:r>
      <w:r w:rsidRPr="00252C1F">
        <w:rPr>
          <w:rFonts w:ascii="Arial" w:eastAsia="Calibri" w:hAnsi="Arial" w:cs="Arial"/>
          <w:sz w:val="22"/>
          <w:szCs w:val="22"/>
          <w:lang w:val="es-CL" w:eastAsia="es-CL"/>
        </w:rPr>
        <w:t>, los que deberán evacuar</w:t>
      </w:r>
      <w:r w:rsidR="00A45A5B">
        <w:rPr>
          <w:rFonts w:ascii="Arial" w:eastAsia="Calibri" w:hAnsi="Arial" w:cs="Arial"/>
          <w:sz w:val="22"/>
          <w:szCs w:val="22"/>
          <w:lang w:val="es-CL" w:eastAsia="es-CL"/>
        </w:rPr>
        <w:t>los</w:t>
      </w:r>
      <w:r w:rsidRPr="00252C1F">
        <w:rPr>
          <w:rFonts w:ascii="Arial" w:eastAsia="Calibri" w:hAnsi="Arial" w:cs="Arial"/>
          <w:sz w:val="22"/>
          <w:szCs w:val="22"/>
          <w:lang w:val="es-CL" w:eastAsia="es-CL"/>
        </w:rPr>
        <w:t xml:space="preserve"> dentro del plazo de 15 días hábiles desde la recepción de la consulta</w:t>
      </w:r>
      <w:r w:rsidR="001D4586" w:rsidRPr="00252C1F">
        <w:rPr>
          <w:rFonts w:ascii="Arial" w:eastAsia="Calibri" w:hAnsi="Arial" w:cs="Arial"/>
          <w:sz w:val="22"/>
          <w:szCs w:val="22"/>
          <w:lang w:val="es-CL" w:eastAsia="es-CL"/>
        </w:rPr>
        <w:t>;</w:t>
      </w:r>
      <w:r w:rsidRPr="00252C1F">
        <w:rPr>
          <w:rFonts w:ascii="Arial" w:eastAsia="Calibri" w:hAnsi="Arial" w:cs="Arial"/>
          <w:sz w:val="22"/>
          <w:szCs w:val="22"/>
          <w:lang w:val="es-CL" w:eastAsia="es-CL"/>
        </w:rPr>
        <w:t xml:space="preserve"> </w:t>
      </w:r>
    </w:p>
    <w:p w:rsidR="00E545DA" w:rsidRPr="00252C1F" w:rsidRDefault="00E545DA" w:rsidP="00C22DD9">
      <w:pPr>
        <w:tabs>
          <w:tab w:val="left" w:pos="284"/>
        </w:tabs>
        <w:autoSpaceDE w:val="0"/>
        <w:autoSpaceDN w:val="0"/>
        <w:adjustRightInd w:val="0"/>
        <w:ind w:right="-93"/>
        <w:jc w:val="both"/>
        <w:rPr>
          <w:rFonts w:ascii="Arial" w:eastAsia="Calibri" w:hAnsi="Arial" w:cs="Arial"/>
          <w:sz w:val="22"/>
          <w:szCs w:val="22"/>
          <w:lang w:val="es-CL" w:eastAsia="es-CL"/>
        </w:rPr>
      </w:pPr>
    </w:p>
    <w:p w:rsidR="00E545DA" w:rsidRPr="00252C1F" w:rsidRDefault="00E545DA" w:rsidP="00C22DD9">
      <w:pPr>
        <w:numPr>
          <w:ilvl w:val="0"/>
          <w:numId w:val="25"/>
        </w:numPr>
        <w:tabs>
          <w:tab w:val="left" w:pos="284"/>
        </w:tabs>
        <w:autoSpaceDE w:val="0"/>
        <w:autoSpaceDN w:val="0"/>
        <w:adjustRightInd w:val="0"/>
        <w:ind w:left="0" w:right="-93" w:firstLine="0"/>
        <w:jc w:val="both"/>
        <w:rPr>
          <w:rFonts w:ascii="Arial" w:eastAsia="Calibri" w:hAnsi="Arial" w:cs="Arial"/>
          <w:sz w:val="22"/>
          <w:szCs w:val="22"/>
          <w:lang w:val="es-CL" w:eastAsia="es-CL"/>
        </w:rPr>
      </w:pPr>
      <w:r w:rsidRPr="00252C1F">
        <w:rPr>
          <w:rFonts w:ascii="Arial" w:eastAsia="Calibri" w:hAnsi="Arial" w:cs="Arial"/>
          <w:sz w:val="22"/>
          <w:szCs w:val="22"/>
          <w:lang w:val="es-CL" w:eastAsia="es-CL"/>
        </w:rPr>
        <w:t xml:space="preserve">Una vez recibida dicha información, el </w:t>
      </w:r>
      <w:r w:rsidRPr="00CB736A">
        <w:rPr>
          <w:rFonts w:ascii="Arial" w:eastAsia="Calibri" w:hAnsi="Arial" w:cs="Arial"/>
          <w:b/>
          <w:sz w:val="22"/>
          <w:szCs w:val="22"/>
          <w:lang w:val="es-CL" w:eastAsia="es-CL"/>
        </w:rPr>
        <w:t>CIE</w:t>
      </w:r>
      <w:r w:rsidRPr="00252C1F">
        <w:rPr>
          <w:rFonts w:ascii="Arial" w:eastAsia="Calibri" w:hAnsi="Arial" w:cs="Arial"/>
          <w:sz w:val="22"/>
          <w:szCs w:val="22"/>
          <w:lang w:val="es-CL" w:eastAsia="es-CL"/>
        </w:rPr>
        <w:t xml:space="preserve"> o el Ministerio de Economía, Fomento y Turismo, según </w:t>
      </w:r>
      <w:r w:rsidR="00CB736A">
        <w:rPr>
          <w:rFonts w:ascii="Arial" w:eastAsia="Calibri" w:hAnsi="Arial" w:cs="Arial"/>
          <w:sz w:val="22"/>
          <w:szCs w:val="22"/>
          <w:lang w:val="es-CL" w:eastAsia="es-CL"/>
        </w:rPr>
        <w:t>corresponda</w:t>
      </w:r>
      <w:r w:rsidRPr="00252C1F">
        <w:rPr>
          <w:rFonts w:ascii="Arial" w:eastAsia="Calibri" w:hAnsi="Arial" w:cs="Arial"/>
          <w:sz w:val="22"/>
          <w:szCs w:val="22"/>
          <w:lang w:val="es-CL" w:eastAsia="es-CL"/>
        </w:rPr>
        <w:t>, dictarán las resoluciones administrativas respectivas, resolviendo las extensiones de invariabilidad a</w:t>
      </w:r>
      <w:r w:rsidR="0088446C" w:rsidRPr="00252C1F">
        <w:rPr>
          <w:rFonts w:ascii="Arial" w:eastAsia="Calibri" w:hAnsi="Arial" w:cs="Arial"/>
          <w:sz w:val="22"/>
          <w:szCs w:val="22"/>
          <w:lang w:val="es-CL" w:eastAsia="es-CL"/>
        </w:rPr>
        <w:t xml:space="preserve"> </w:t>
      </w:r>
      <w:r w:rsidR="00AD57D1">
        <w:rPr>
          <w:rFonts w:ascii="Arial" w:eastAsia="Calibri" w:hAnsi="Arial" w:cs="Arial"/>
          <w:sz w:val="22"/>
          <w:szCs w:val="22"/>
          <w:lang w:val="es-CL" w:eastAsia="es-CL"/>
        </w:rPr>
        <w:t>los</w:t>
      </w:r>
      <w:r w:rsidRPr="00252C1F">
        <w:rPr>
          <w:rFonts w:ascii="Arial" w:eastAsia="Calibri" w:hAnsi="Arial" w:cs="Arial"/>
          <w:sz w:val="22"/>
          <w:szCs w:val="22"/>
          <w:lang w:val="es-CL" w:eastAsia="es-CL"/>
        </w:rPr>
        <w:t xml:space="preserve"> proyectos conexos solicitadas.</w:t>
      </w:r>
    </w:p>
    <w:p w:rsidR="00E545DA" w:rsidRPr="00252C1F" w:rsidRDefault="00E545DA" w:rsidP="00EB6F27">
      <w:pPr>
        <w:autoSpaceDE w:val="0"/>
        <w:autoSpaceDN w:val="0"/>
        <w:adjustRightInd w:val="0"/>
        <w:ind w:right="-93"/>
        <w:jc w:val="both"/>
        <w:rPr>
          <w:rFonts w:ascii="Arial" w:eastAsia="Calibri" w:hAnsi="Arial" w:cs="Arial"/>
          <w:sz w:val="22"/>
          <w:szCs w:val="22"/>
          <w:lang w:val="es-CL" w:eastAsia="es-CL"/>
        </w:rPr>
      </w:pPr>
    </w:p>
    <w:p w:rsidR="004403DF" w:rsidRDefault="004403DF" w:rsidP="00EB6F27">
      <w:pPr>
        <w:autoSpaceDE w:val="0"/>
        <w:autoSpaceDN w:val="0"/>
        <w:adjustRightInd w:val="0"/>
        <w:ind w:right="-93"/>
        <w:jc w:val="both"/>
        <w:rPr>
          <w:rFonts w:ascii="Arial" w:eastAsia="Calibri" w:hAnsi="Arial" w:cs="Arial"/>
          <w:b/>
          <w:sz w:val="22"/>
          <w:szCs w:val="22"/>
          <w:lang w:val="es-CL" w:eastAsia="es-CL"/>
        </w:rPr>
      </w:pPr>
    </w:p>
    <w:p w:rsidR="006B41F8" w:rsidRPr="00CB736A" w:rsidRDefault="006B41F8" w:rsidP="00EB6F27">
      <w:pPr>
        <w:autoSpaceDE w:val="0"/>
        <w:autoSpaceDN w:val="0"/>
        <w:adjustRightInd w:val="0"/>
        <w:ind w:right="-93"/>
        <w:jc w:val="both"/>
        <w:rPr>
          <w:rFonts w:ascii="Arial" w:eastAsia="Calibri" w:hAnsi="Arial" w:cs="Arial"/>
          <w:b/>
          <w:sz w:val="22"/>
          <w:szCs w:val="22"/>
          <w:lang w:val="es-CL" w:eastAsia="es-CL"/>
        </w:rPr>
      </w:pPr>
      <w:r w:rsidRPr="00CB736A">
        <w:rPr>
          <w:rFonts w:ascii="Arial" w:eastAsia="Calibri" w:hAnsi="Arial" w:cs="Arial"/>
          <w:b/>
          <w:sz w:val="22"/>
          <w:szCs w:val="22"/>
          <w:lang w:val="es-CL" w:eastAsia="es-CL"/>
        </w:rPr>
        <w:t>(5) Requisitos que deben cumplirse para acceder a los derechos indicados en los N</w:t>
      </w:r>
      <w:r w:rsidR="00CB736A" w:rsidRPr="00CB736A">
        <w:rPr>
          <w:rFonts w:ascii="Arial" w:eastAsia="Calibri" w:hAnsi="Arial" w:cs="Arial"/>
          <w:b/>
          <w:sz w:val="22"/>
          <w:szCs w:val="22"/>
          <w:lang w:val="es-CL" w:eastAsia="es-CL"/>
        </w:rPr>
        <w:t>°s</w:t>
      </w:r>
      <w:r w:rsidRPr="00CB736A">
        <w:rPr>
          <w:rFonts w:ascii="Arial" w:eastAsia="Calibri" w:hAnsi="Arial" w:cs="Arial"/>
          <w:b/>
          <w:sz w:val="22"/>
          <w:szCs w:val="22"/>
          <w:lang w:val="es-CL" w:eastAsia="es-CL"/>
        </w:rPr>
        <w:t xml:space="preserve"> (2), (3) y (4) anteriores.</w:t>
      </w:r>
    </w:p>
    <w:p w:rsidR="006B41F8" w:rsidRPr="00252C1F" w:rsidRDefault="006B41F8" w:rsidP="00EB6F27">
      <w:pPr>
        <w:autoSpaceDE w:val="0"/>
        <w:autoSpaceDN w:val="0"/>
        <w:adjustRightInd w:val="0"/>
        <w:ind w:right="-93"/>
        <w:jc w:val="both"/>
        <w:rPr>
          <w:rFonts w:ascii="Arial" w:eastAsia="Calibri" w:hAnsi="Arial" w:cs="Arial"/>
          <w:sz w:val="22"/>
          <w:szCs w:val="22"/>
          <w:lang w:val="es-CL" w:eastAsia="es-CL"/>
        </w:rPr>
      </w:pPr>
    </w:p>
    <w:p w:rsidR="00EB6F27" w:rsidRPr="00252C1F" w:rsidRDefault="00DE622C" w:rsidP="00EB6F27">
      <w:pPr>
        <w:autoSpaceDE w:val="0"/>
        <w:autoSpaceDN w:val="0"/>
        <w:adjustRightInd w:val="0"/>
        <w:ind w:right="-93"/>
        <w:jc w:val="both"/>
        <w:rPr>
          <w:rFonts w:ascii="Arial" w:eastAsia="Calibri" w:hAnsi="Arial" w:cs="Arial"/>
          <w:sz w:val="22"/>
          <w:szCs w:val="22"/>
          <w:lang w:val="es-CL" w:eastAsia="es-CL"/>
        </w:rPr>
      </w:pPr>
      <w:r w:rsidRPr="00252C1F">
        <w:rPr>
          <w:rFonts w:ascii="Arial" w:eastAsia="Calibri" w:hAnsi="Arial" w:cs="Arial"/>
          <w:sz w:val="22"/>
          <w:szCs w:val="22"/>
          <w:lang w:val="es-CL" w:eastAsia="es-CL"/>
        </w:rPr>
        <w:t xml:space="preserve">Conforme al inciso 9º, del </w:t>
      </w:r>
      <w:r w:rsidR="00CB736A">
        <w:rPr>
          <w:rFonts w:ascii="Arial" w:eastAsia="Calibri" w:hAnsi="Arial" w:cs="Arial"/>
          <w:sz w:val="22"/>
          <w:szCs w:val="22"/>
          <w:lang w:val="es-CL" w:eastAsia="es-CL"/>
        </w:rPr>
        <w:t>a</w:t>
      </w:r>
      <w:r w:rsidRPr="00252C1F">
        <w:rPr>
          <w:rFonts w:ascii="Arial" w:eastAsia="Calibri" w:hAnsi="Arial" w:cs="Arial"/>
          <w:sz w:val="22"/>
          <w:szCs w:val="22"/>
          <w:lang w:val="es-CL" w:eastAsia="es-CL"/>
        </w:rPr>
        <w:t xml:space="preserve">rtículo </w:t>
      </w:r>
      <w:r w:rsidR="0088446C" w:rsidRPr="00252C1F">
        <w:rPr>
          <w:rFonts w:ascii="Arial" w:eastAsia="Calibri" w:hAnsi="Arial" w:cs="Arial"/>
          <w:sz w:val="22"/>
          <w:szCs w:val="22"/>
          <w:lang w:val="es-CL" w:eastAsia="es-CL"/>
        </w:rPr>
        <w:t>3</w:t>
      </w:r>
      <w:r w:rsidRPr="00252C1F">
        <w:rPr>
          <w:rFonts w:ascii="Arial" w:eastAsia="Calibri" w:hAnsi="Arial" w:cs="Arial"/>
          <w:sz w:val="22"/>
          <w:szCs w:val="22"/>
          <w:lang w:val="es-CL" w:eastAsia="es-CL"/>
        </w:rPr>
        <w:t xml:space="preserve">º </w:t>
      </w:r>
      <w:r w:rsidR="00513A56" w:rsidRPr="00252C1F">
        <w:rPr>
          <w:rFonts w:ascii="Arial" w:eastAsia="Calibri" w:hAnsi="Arial" w:cs="Arial"/>
          <w:sz w:val="22"/>
          <w:szCs w:val="22"/>
          <w:lang w:val="es-CL" w:eastAsia="es-CL"/>
        </w:rPr>
        <w:t>t</w:t>
      </w:r>
      <w:r w:rsidRPr="00252C1F">
        <w:rPr>
          <w:rFonts w:ascii="Arial" w:eastAsia="Calibri" w:hAnsi="Arial" w:cs="Arial"/>
          <w:sz w:val="22"/>
          <w:szCs w:val="22"/>
          <w:lang w:val="es-CL" w:eastAsia="es-CL"/>
        </w:rPr>
        <w:t>ransitorio, de la Ley 20.469, p</w:t>
      </w:r>
      <w:r w:rsidR="00EB6F27" w:rsidRPr="00252C1F">
        <w:rPr>
          <w:rFonts w:ascii="Arial" w:eastAsia="Calibri" w:hAnsi="Arial" w:cs="Arial"/>
          <w:sz w:val="22"/>
          <w:szCs w:val="22"/>
          <w:lang w:val="es-CL" w:eastAsia="es-CL"/>
        </w:rPr>
        <w:t xml:space="preserve">ara solicitar el otorgamiento de los derechos </w:t>
      </w:r>
      <w:r w:rsidR="00023939">
        <w:rPr>
          <w:rFonts w:ascii="Arial" w:eastAsia="Calibri" w:hAnsi="Arial" w:cs="Arial"/>
          <w:sz w:val="22"/>
          <w:szCs w:val="22"/>
          <w:lang w:val="es-CL" w:eastAsia="es-CL"/>
        </w:rPr>
        <w:t>a que se refiere, l</w:t>
      </w:r>
      <w:r w:rsidR="00EB6F27" w:rsidRPr="00252C1F">
        <w:rPr>
          <w:rFonts w:ascii="Arial" w:eastAsia="Calibri" w:hAnsi="Arial" w:cs="Arial"/>
          <w:sz w:val="22"/>
          <w:szCs w:val="22"/>
          <w:lang w:val="es-CL" w:eastAsia="es-CL"/>
        </w:rPr>
        <w:t>os</w:t>
      </w:r>
      <w:r w:rsidR="005360C6" w:rsidRPr="00252C1F">
        <w:rPr>
          <w:rFonts w:ascii="Arial" w:eastAsia="Calibri" w:hAnsi="Arial" w:cs="Arial"/>
          <w:sz w:val="22"/>
          <w:szCs w:val="22"/>
          <w:lang w:val="es-CL" w:eastAsia="es-CL"/>
        </w:rPr>
        <w:t xml:space="preserve"> </w:t>
      </w:r>
      <w:r w:rsidR="00EB6F27" w:rsidRPr="00252C1F">
        <w:rPr>
          <w:rFonts w:ascii="Arial" w:eastAsia="Calibri" w:hAnsi="Arial" w:cs="Arial"/>
          <w:sz w:val="22"/>
          <w:szCs w:val="22"/>
          <w:lang w:val="es-CL" w:eastAsia="es-CL"/>
        </w:rPr>
        <w:t>inversionistas extranjeros y las empresas que hayan suscrito un contrato de invariabilidad</w:t>
      </w:r>
      <w:r w:rsidR="005360C6" w:rsidRPr="00252C1F">
        <w:rPr>
          <w:rFonts w:ascii="Arial" w:eastAsia="Calibri" w:hAnsi="Arial" w:cs="Arial"/>
          <w:sz w:val="22"/>
          <w:szCs w:val="22"/>
          <w:lang w:val="es-CL" w:eastAsia="es-CL"/>
        </w:rPr>
        <w:t xml:space="preserve"> </w:t>
      </w:r>
      <w:r w:rsidR="00EB6F27" w:rsidRPr="00252C1F">
        <w:rPr>
          <w:rFonts w:ascii="Arial" w:eastAsia="Calibri" w:hAnsi="Arial" w:cs="Arial"/>
          <w:sz w:val="22"/>
          <w:szCs w:val="22"/>
          <w:lang w:val="es-CL" w:eastAsia="es-CL"/>
        </w:rPr>
        <w:t xml:space="preserve">tributaria de aquellos señalados en el artículo 5° transitorio de la </w:t>
      </w:r>
      <w:r w:rsidR="009E2C3A" w:rsidRPr="00252C1F">
        <w:rPr>
          <w:rFonts w:ascii="Arial" w:eastAsia="Calibri" w:hAnsi="Arial" w:cs="Arial"/>
          <w:sz w:val="22"/>
          <w:szCs w:val="22"/>
          <w:lang w:val="es-CL" w:eastAsia="es-CL"/>
        </w:rPr>
        <w:t>L</w:t>
      </w:r>
      <w:r w:rsidR="00EB6F27" w:rsidRPr="00252C1F">
        <w:rPr>
          <w:rFonts w:ascii="Arial" w:eastAsia="Calibri" w:hAnsi="Arial" w:cs="Arial"/>
          <w:sz w:val="22"/>
          <w:szCs w:val="22"/>
          <w:lang w:val="es-CL" w:eastAsia="es-CL"/>
        </w:rPr>
        <w:t>ey 20.026,</w:t>
      </w:r>
      <w:r w:rsidR="005360C6" w:rsidRPr="00252C1F">
        <w:rPr>
          <w:rFonts w:ascii="Arial" w:eastAsia="Calibri" w:hAnsi="Arial" w:cs="Arial"/>
          <w:sz w:val="22"/>
          <w:szCs w:val="22"/>
          <w:lang w:val="es-CL" w:eastAsia="es-CL"/>
        </w:rPr>
        <w:t xml:space="preserve"> </w:t>
      </w:r>
      <w:r w:rsidR="00EB6F27" w:rsidRPr="00252C1F">
        <w:rPr>
          <w:rFonts w:ascii="Arial" w:eastAsia="Calibri" w:hAnsi="Arial" w:cs="Arial"/>
          <w:sz w:val="22"/>
          <w:szCs w:val="22"/>
          <w:lang w:val="es-CL" w:eastAsia="es-CL"/>
        </w:rPr>
        <w:t>deberán dar íntegro y oportuno cumplimiento a las condiciones establecidas en los</w:t>
      </w:r>
      <w:r w:rsidR="005360C6" w:rsidRPr="00252C1F">
        <w:rPr>
          <w:rFonts w:ascii="Arial" w:eastAsia="Calibri" w:hAnsi="Arial" w:cs="Arial"/>
          <w:sz w:val="22"/>
          <w:szCs w:val="22"/>
          <w:lang w:val="es-CL" w:eastAsia="es-CL"/>
        </w:rPr>
        <w:t xml:space="preserve"> </w:t>
      </w:r>
      <w:r w:rsidR="00EB6F27" w:rsidRPr="00252C1F">
        <w:rPr>
          <w:rFonts w:ascii="Arial" w:eastAsia="Calibri" w:hAnsi="Arial" w:cs="Arial"/>
          <w:sz w:val="22"/>
          <w:szCs w:val="22"/>
          <w:lang w:val="es-CL" w:eastAsia="es-CL"/>
        </w:rPr>
        <w:t xml:space="preserve">incisos </w:t>
      </w:r>
      <w:r w:rsidR="00513A56" w:rsidRPr="00252C1F">
        <w:rPr>
          <w:rFonts w:ascii="Arial" w:eastAsia="Calibri" w:hAnsi="Arial" w:cs="Arial"/>
          <w:sz w:val="22"/>
          <w:szCs w:val="22"/>
          <w:lang w:val="es-CL" w:eastAsia="es-CL"/>
        </w:rPr>
        <w:t>2°</w:t>
      </w:r>
      <w:r w:rsidR="00EB6F27" w:rsidRPr="00252C1F">
        <w:rPr>
          <w:rFonts w:ascii="Arial" w:eastAsia="Calibri" w:hAnsi="Arial" w:cs="Arial"/>
          <w:sz w:val="22"/>
          <w:szCs w:val="22"/>
          <w:lang w:val="es-CL" w:eastAsia="es-CL"/>
        </w:rPr>
        <w:t xml:space="preserve"> y siguientes del artículo 11 ter del </w:t>
      </w:r>
      <w:r w:rsidR="00513A56" w:rsidRPr="00252C1F">
        <w:rPr>
          <w:rFonts w:ascii="Arial" w:eastAsia="Calibri" w:hAnsi="Arial" w:cs="Arial"/>
          <w:sz w:val="22"/>
          <w:szCs w:val="22"/>
          <w:lang w:val="es-CL" w:eastAsia="es-CL"/>
        </w:rPr>
        <w:t>DL</w:t>
      </w:r>
      <w:r w:rsidR="00EB6F27" w:rsidRPr="00252C1F">
        <w:rPr>
          <w:rFonts w:ascii="Arial" w:eastAsia="Calibri" w:hAnsi="Arial" w:cs="Arial"/>
          <w:sz w:val="22"/>
          <w:szCs w:val="22"/>
          <w:lang w:val="es-CL" w:eastAsia="es-CL"/>
        </w:rPr>
        <w:t xml:space="preserve"> 600, de 1974.</w:t>
      </w:r>
      <w:r w:rsidR="005360C6" w:rsidRPr="00252C1F">
        <w:rPr>
          <w:rFonts w:ascii="Arial" w:eastAsia="Calibri" w:hAnsi="Arial" w:cs="Arial"/>
          <w:sz w:val="22"/>
          <w:szCs w:val="22"/>
          <w:lang w:val="es-CL" w:eastAsia="es-CL"/>
        </w:rPr>
        <w:t xml:space="preserve"> </w:t>
      </w:r>
      <w:r w:rsidR="00683774" w:rsidRPr="00252C1F">
        <w:rPr>
          <w:rFonts w:ascii="Arial" w:eastAsia="Calibri" w:hAnsi="Arial" w:cs="Arial"/>
          <w:sz w:val="22"/>
          <w:szCs w:val="22"/>
          <w:lang w:val="es-CL" w:eastAsia="es-CL"/>
        </w:rPr>
        <w:t>Las instrucciones sobre el cumplimiento de tales requisitos se encuentran en la Circular 60</w:t>
      </w:r>
      <w:r w:rsidR="00683774">
        <w:rPr>
          <w:rFonts w:ascii="Arial" w:eastAsia="Calibri" w:hAnsi="Arial" w:cs="Arial"/>
          <w:sz w:val="22"/>
          <w:szCs w:val="22"/>
          <w:lang w:val="es-CL" w:eastAsia="es-CL"/>
        </w:rPr>
        <w:t>,</w:t>
      </w:r>
      <w:r w:rsidR="00683774" w:rsidRPr="00252C1F">
        <w:rPr>
          <w:rFonts w:ascii="Arial" w:eastAsia="Calibri" w:hAnsi="Arial" w:cs="Arial"/>
          <w:sz w:val="22"/>
          <w:szCs w:val="22"/>
          <w:lang w:val="es-CL" w:eastAsia="es-CL"/>
        </w:rPr>
        <w:t xml:space="preserve"> de 2005</w:t>
      </w:r>
      <w:r w:rsidR="00683774">
        <w:rPr>
          <w:rFonts w:ascii="Arial" w:eastAsia="Calibri" w:hAnsi="Arial" w:cs="Arial"/>
          <w:sz w:val="22"/>
          <w:szCs w:val="22"/>
          <w:lang w:val="es-CL" w:eastAsia="es-CL"/>
        </w:rPr>
        <w:t>.</w:t>
      </w:r>
    </w:p>
    <w:p w:rsidR="00A45A5B" w:rsidRDefault="00A45A5B" w:rsidP="004641D1">
      <w:pPr>
        <w:autoSpaceDE w:val="0"/>
        <w:autoSpaceDN w:val="0"/>
        <w:adjustRightInd w:val="0"/>
        <w:ind w:right="-93"/>
        <w:jc w:val="both"/>
        <w:rPr>
          <w:rFonts w:ascii="Arial" w:eastAsia="Calibri" w:hAnsi="Arial" w:cs="Arial"/>
          <w:b/>
          <w:sz w:val="22"/>
          <w:szCs w:val="22"/>
          <w:lang w:val="es-CL" w:eastAsia="es-CL"/>
        </w:rPr>
      </w:pPr>
    </w:p>
    <w:p w:rsidR="00A45A5B" w:rsidRDefault="00A45A5B" w:rsidP="004641D1">
      <w:pPr>
        <w:autoSpaceDE w:val="0"/>
        <w:autoSpaceDN w:val="0"/>
        <w:adjustRightInd w:val="0"/>
        <w:ind w:right="-93"/>
        <w:jc w:val="both"/>
        <w:rPr>
          <w:rFonts w:ascii="Arial" w:eastAsia="Calibri" w:hAnsi="Arial" w:cs="Arial"/>
          <w:b/>
          <w:sz w:val="22"/>
          <w:szCs w:val="22"/>
          <w:lang w:val="es-CL" w:eastAsia="es-CL"/>
        </w:rPr>
      </w:pPr>
    </w:p>
    <w:p w:rsidR="00813085" w:rsidRPr="00CB736A" w:rsidRDefault="007F049A" w:rsidP="004641D1">
      <w:pPr>
        <w:autoSpaceDE w:val="0"/>
        <w:autoSpaceDN w:val="0"/>
        <w:adjustRightInd w:val="0"/>
        <w:ind w:right="-93"/>
        <w:jc w:val="both"/>
        <w:rPr>
          <w:rFonts w:ascii="Arial" w:eastAsia="Calibri" w:hAnsi="Arial" w:cs="Arial"/>
          <w:b/>
          <w:sz w:val="22"/>
          <w:szCs w:val="22"/>
          <w:lang w:val="es-CL" w:eastAsia="es-CL"/>
        </w:rPr>
      </w:pPr>
      <w:r w:rsidRPr="00CB736A">
        <w:rPr>
          <w:rFonts w:ascii="Arial" w:eastAsia="Calibri" w:hAnsi="Arial" w:cs="Arial"/>
          <w:b/>
          <w:sz w:val="22"/>
          <w:szCs w:val="22"/>
          <w:lang w:val="es-CL" w:eastAsia="es-CL"/>
        </w:rPr>
        <w:t xml:space="preserve">(6) </w:t>
      </w:r>
      <w:r w:rsidR="004641D1" w:rsidRPr="00CB736A">
        <w:rPr>
          <w:rFonts w:ascii="Arial" w:eastAsia="Calibri" w:hAnsi="Arial" w:cs="Arial"/>
          <w:b/>
          <w:sz w:val="22"/>
          <w:szCs w:val="22"/>
          <w:lang w:val="es-CL" w:eastAsia="es-CL"/>
        </w:rPr>
        <w:t>Régimen tributario aplicable a las e</w:t>
      </w:r>
      <w:r w:rsidRPr="00CB736A">
        <w:rPr>
          <w:rFonts w:ascii="Arial" w:eastAsia="Calibri" w:hAnsi="Arial" w:cs="Arial"/>
          <w:b/>
          <w:sz w:val="22"/>
          <w:szCs w:val="22"/>
          <w:lang w:val="es-CL" w:eastAsia="es-CL"/>
        </w:rPr>
        <w:t>mpresas que no siendo receptoras del aporte de inversionistas</w:t>
      </w:r>
      <w:r w:rsidR="00813085" w:rsidRPr="00CB736A">
        <w:rPr>
          <w:rFonts w:ascii="Arial" w:eastAsia="Calibri" w:hAnsi="Arial" w:cs="Arial"/>
          <w:b/>
          <w:sz w:val="22"/>
          <w:szCs w:val="22"/>
          <w:lang w:val="es-CL" w:eastAsia="es-CL"/>
        </w:rPr>
        <w:t xml:space="preserve"> </w:t>
      </w:r>
      <w:r w:rsidRPr="00CB736A">
        <w:rPr>
          <w:rFonts w:ascii="Arial" w:eastAsia="Calibri" w:hAnsi="Arial" w:cs="Arial"/>
          <w:b/>
          <w:sz w:val="22"/>
          <w:szCs w:val="22"/>
          <w:lang w:val="es-CL" w:eastAsia="es-CL"/>
        </w:rPr>
        <w:t>extranjeros, hubieren iniciado la explotación de un proyecto minero con anterioridad a la</w:t>
      </w:r>
      <w:r w:rsidR="00813085" w:rsidRPr="00CB736A">
        <w:rPr>
          <w:rFonts w:ascii="Arial" w:eastAsia="Calibri" w:hAnsi="Arial" w:cs="Arial"/>
          <w:b/>
          <w:sz w:val="22"/>
          <w:szCs w:val="22"/>
          <w:lang w:val="es-CL" w:eastAsia="es-CL"/>
        </w:rPr>
        <w:t xml:space="preserve"> </w:t>
      </w:r>
      <w:r w:rsidRPr="00CB736A">
        <w:rPr>
          <w:rFonts w:ascii="Arial" w:eastAsia="Calibri" w:hAnsi="Arial" w:cs="Arial"/>
          <w:b/>
          <w:sz w:val="22"/>
          <w:szCs w:val="22"/>
          <w:lang w:val="es-CL" w:eastAsia="es-CL"/>
        </w:rPr>
        <w:t xml:space="preserve">entrada en vigencia de </w:t>
      </w:r>
      <w:r w:rsidR="00813085" w:rsidRPr="00CB736A">
        <w:rPr>
          <w:rFonts w:ascii="Arial" w:eastAsia="Calibri" w:hAnsi="Arial" w:cs="Arial"/>
          <w:b/>
          <w:sz w:val="22"/>
          <w:szCs w:val="22"/>
          <w:lang w:val="es-CL" w:eastAsia="es-CL"/>
        </w:rPr>
        <w:t>la</w:t>
      </w:r>
      <w:r w:rsidRPr="00CB736A">
        <w:rPr>
          <w:rFonts w:ascii="Arial" w:eastAsia="Calibri" w:hAnsi="Arial" w:cs="Arial"/>
          <w:b/>
          <w:sz w:val="22"/>
          <w:szCs w:val="22"/>
          <w:lang w:val="es-CL" w:eastAsia="es-CL"/>
        </w:rPr>
        <w:t xml:space="preserve"> </w:t>
      </w:r>
      <w:r w:rsidR="00813085" w:rsidRPr="00CB736A">
        <w:rPr>
          <w:rFonts w:ascii="Arial" w:eastAsia="Calibri" w:hAnsi="Arial" w:cs="Arial"/>
          <w:b/>
          <w:sz w:val="22"/>
          <w:szCs w:val="22"/>
          <w:lang w:val="es-CL" w:eastAsia="es-CL"/>
        </w:rPr>
        <w:t>L</w:t>
      </w:r>
      <w:r w:rsidRPr="00CB736A">
        <w:rPr>
          <w:rFonts w:ascii="Arial" w:eastAsia="Calibri" w:hAnsi="Arial" w:cs="Arial"/>
          <w:b/>
          <w:sz w:val="22"/>
          <w:szCs w:val="22"/>
          <w:lang w:val="es-CL" w:eastAsia="es-CL"/>
        </w:rPr>
        <w:t xml:space="preserve">ey </w:t>
      </w:r>
      <w:r w:rsidR="00813085" w:rsidRPr="00CB736A">
        <w:rPr>
          <w:rFonts w:ascii="Arial" w:eastAsia="Calibri" w:hAnsi="Arial" w:cs="Arial"/>
          <w:b/>
          <w:sz w:val="22"/>
          <w:szCs w:val="22"/>
          <w:lang w:val="es-CL" w:eastAsia="es-CL"/>
        </w:rPr>
        <w:t xml:space="preserve">20.469 </w:t>
      </w:r>
      <w:r w:rsidRPr="00CB736A">
        <w:rPr>
          <w:rFonts w:ascii="Arial" w:eastAsia="Calibri" w:hAnsi="Arial" w:cs="Arial"/>
          <w:b/>
          <w:sz w:val="22"/>
          <w:szCs w:val="22"/>
          <w:lang w:val="es-CL" w:eastAsia="es-CL"/>
        </w:rPr>
        <w:t>y que se encuentren afectas al I</w:t>
      </w:r>
      <w:r w:rsidR="004641D1" w:rsidRPr="00CB736A">
        <w:rPr>
          <w:rFonts w:ascii="Arial" w:eastAsia="Calibri" w:hAnsi="Arial" w:cs="Arial"/>
          <w:b/>
          <w:sz w:val="22"/>
          <w:szCs w:val="22"/>
          <w:lang w:val="es-CL" w:eastAsia="es-CL"/>
        </w:rPr>
        <w:t>EM</w:t>
      </w:r>
      <w:r w:rsidRPr="00CB736A">
        <w:rPr>
          <w:rFonts w:ascii="Arial" w:eastAsia="Calibri" w:hAnsi="Arial" w:cs="Arial"/>
          <w:b/>
          <w:sz w:val="22"/>
          <w:szCs w:val="22"/>
          <w:lang w:val="es-CL" w:eastAsia="es-CL"/>
        </w:rPr>
        <w:t xml:space="preserve"> del artículo 64 bis de l</w:t>
      </w:r>
      <w:r w:rsidR="00813085" w:rsidRPr="00CB736A">
        <w:rPr>
          <w:rFonts w:ascii="Arial" w:eastAsia="Calibri" w:hAnsi="Arial" w:cs="Arial"/>
          <w:b/>
          <w:sz w:val="22"/>
          <w:szCs w:val="22"/>
          <w:lang w:val="es-CL" w:eastAsia="es-CL"/>
        </w:rPr>
        <w:t>a LIR.</w:t>
      </w:r>
    </w:p>
    <w:p w:rsidR="00813085" w:rsidRPr="00CB736A" w:rsidRDefault="00813085" w:rsidP="007F049A">
      <w:pPr>
        <w:autoSpaceDE w:val="0"/>
        <w:autoSpaceDN w:val="0"/>
        <w:adjustRightInd w:val="0"/>
        <w:ind w:right="-93"/>
        <w:jc w:val="both"/>
        <w:rPr>
          <w:rFonts w:ascii="Arial" w:eastAsia="Calibri" w:hAnsi="Arial" w:cs="Arial"/>
          <w:b/>
          <w:sz w:val="22"/>
          <w:szCs w:val="22"/>
          <w:lang w:val="es-CL" w:eastAsia="es-CL"/>
        </w:rPr>
      </w:pPr>
    </w:p>
    <w:p w:rsidR="00CD4CA7" w:rsidRPr="00CD4CA7" w:rsidRDefault="00CD4CA7" w:rsidP="00C22DD9">
      <w:pPr>
        <w:numPr>
          <w:ilvl w:val="0"/>
          <w:numId w:val="37"/>
        </w:numPr>
        <w:tabs>
          <w:tab w:val="left" w:pos="284"/>
        </w:tabs>
        <w:autoSpaceDE w:val="0"/>
        <w:autoSpaceDN w:val="0"/>
        <w:adjustRightInd w:val="0"/>
        <w:ind w:left="0" w:right="-162" w:firstLine="0"/>
        <w:jc w:val="both"/>
        <w:rPr>
          <w:rFonts w:ascii="Arial" w:hAnsi="Arial" w:cs="Arial"/>
          <w:b/>
          <w:sz w:val="22"/>
          <w:szCs w:val="22"/>
        </w:rPr>
      </w:pPr>
      <w:r w:rsidRPr="00CD4CA7">
        <w:rPr>
          <w:rFonts w:ascii="Arial" w:hAnsi="Arial" w:cs="Arial"/>
          <w:b/>
          <w:sz w:val="22"/>
          <w:szCs w:val="22"/>
        </w:rPr>
        <w:t>Beneficio.</w:t>
      </w:r>
    </w:p>
    <w:p w:rsidR="00CD4CA7" w:rsidRDefault="00CD4CA7" w:rsidP="00CD4CA7">
      <w:pPr>
        <w:autoSpaceDE w:val="0"/>
        <w:autoSpaceDN w:val="0"/>
        <w:adjustRightInd w:val="0"/>
        <w:ind w:left="1485" w:right="-162"/>
        <w:jc w:val="both"/>
        <w:rPr>
          <w:rFonts w:ascii="Arial" w:hAnsi="Arial" w:cs="Arial"/>
          <w:sz w:val="22"/>
          <w:szCs w:val="22"/>
        </w:rPr>
      </w:pPr>
    </w:p>
    <w:p w:rsidR="00464925" w:rsidRPr="00CD4CA7" w:rsidRDefault="00464925" w:rsidP="00CD4CA7">
      <w:pPr>
        <w:autoSpaceDE w:val="0"/>
        <w:autoSpaceDN w:val="0"/>
        <w:adjustRightInd w:val="0"/>
        <w:ind w:right="-162"/>
        <w:jc w:val="both"/>
        <w:rPr>
          <w:rFonts w:ascii="Arial" w:hAnsi="Arial" w:cs="Arial"/>
          <w:sz w:val="22"/>
          <w:szCs w:val="22"/>
        </w:rPr>
      </w:pPr>
      <w:smartTag w:uri="urn:schemas-microsoft-com:office:smarttags" w:element="PersonName">
        <w:smartTagPr>
          <w:attr w:name="ProductID" w:val="la Ley"/>
        </w:smartTagPr>
        <w:r w:rsidRPr="00CD4CA7">
          <w:rPr>
            <w:rFonts w:ascii="Arial" w:hAnsi="Arial" w:cs="Arial"/>
            <w:sz w:val="22"/>
            <w:szCs w:val="22"/>
          </w:rPr>
          <w:t>La Ley</w:t>
        </w:r>
      </w:smartTag>
      <w:r w:rsidRPr="00CD4CA7">
        <w:rPr>
          <w:rFonts w:ascii="Arial" w:hAnsi="Arial" w:cs="Arial"/>
          <w:sz w:val="22"/>
          <w:szCs w:val="22"/>
        </w:rPr>
        <w:t xml:space="preserve"> </w:t>
      </w:r>
      <w:r w:rsidR="004641D1" w:rsidRPr="00CD4CA7">
        <w:rPr>
          <w:rFonts w:ascii="Arial" w:hAnsi="Arial" w:cs="Arial"/>
          <w:sz w:val="22"/>
          <w:szCs w:val="22"/>
        </w:rPr>
        <w:t xml:space="preserve">20.469, </w:t>
      </w:r>
      <w:r w:rsidRPr="00CD4CA7">
        <w:rPr>
          <w:rFonts w:ascii="Arial" w:hAnsi="Arial" w:cs="Arial"/>
          <w:sz w:val="22"/>
          <w:szCs w:val="22"/>
        </w:rPr>
        <w:t xml:space="preserve">contempla </w:t>
      </w:r>
      <w:r w:rsidR="00702FCC" w:rsidRPr="00CD4CA7">
        <w:rPr>
          <w:rFonts w:ascii="Arial" w:eastAsia="Calibri" w:hAnsi="Arial" w:cs="Arial"/>
          <w:sz w:val="22"/>
          <w:szCs w:val="22"/>
          <w:lang w:val="es-CL" w:eastAsia="es-CL"/>
        </w:rPr>
        <w:t>en su</w:t>
      </w:r>
      <w:r w:rsidRPr="00CD4CA7">
        <w:rPr>
          <w:rFonts w:ascii="Arial" w:eastAsia="Calibri" w:hAnsi="Arial" w:cs="Arial"/>
          <w:sz w:val="22"/>
          <w:szCs w:val="22"/>
          <w:lang w:val="es-CL" w:eastAsia="es-CL"/>
        </w:rPr>
        <w:t xml:space="preserve"> artículo 4º </w:t>
      </w:r>
      <w:r w:rsidR="00702FCC" w:rsidRPr="00CD4CA7">
        <w:rPr>
          <w:rFonts w:ascii="Arial" w:eastAsia="Calibri" w:hAnsi="Arial" w:cs="Arial"/>
          <w:sz w:val="22"/>
          <w:szCs w:val="22"/>
          <w:lang w:val="es-CL" w:eastAsia="es-CL"/>
        </w:rPr>
        <w:t>t</w:t>
      </w:r>
      <w:r w:rsidRPr="00CD4CA7">
        <w:rPr>
          <w:rFonts w:ascii="Arial" w:eastAsia="Calibri" w:hAnsi="Arial" w:cs="Arial"/>
          <w:sz w:val="22"/>
          <w:szCs w:val="22"/>
          <w:lang w:val="es-CL" w:eastAsia="es-CL"/>
        </w:rPr>
        <w:t>ransitorio</w:t>
      </w:r>
      <w:r w:rsidR="00586852" w:rsidRPr="00CD4CA7">
        <w:rPr>
          <w:rFonts w:ascii="Arial" w:eastAsia="Calibri" w:hAnsi="Arial" w:cs="Arial"/>
          <w:sz w:val="22"/>
          <w:szCs w:val="22"/>
          <w:lang w:val="es-CL" w:eastAsia="es-CL"/>
        </w:rPr>
        <w:t>,</w:t>
      </w:r>
      <w:r w:rsidRPr="00CD4CA7">
        <w:rPr>
          <w:rFonts w:ascii="Arial" w:eastAsia="Calibri" w:hAnsi="Arial" w:cs="Arial"/>
          <w:sz w:val="22"/>
          <w:szCs w:val="22"/>
          <w:lang w:val="es-CL" w:eastAsia="es-CL"/>
        </w:rPr>
        <w:t xml:space="preserve"> </w:t>
      </w:r>
      <w:r w:rsidR="00702FCC" w:rsidRPr="00CD4CA7">
        <w:rPr>
          <w:rFonts w:ascii="Arial" w:eastAsia="Calibri" w:hAnsi="Arial" w:cs="Arial"/>
          <w:sz w:val="22"/>
          <w:szCs w:val="22"/>
          <w:lang w:val="es-CL" w:eastAsia="es-CL"/>
        </w:rPr>
        <w:t>la posibilidad de</w:t>
      </w:r>
      <w:r w:rsidRPr="00CD4CA7">
        <w:rPr>
          <w:rFonts w:ascii="Arial" w:eastAsia="Calibri" w:hAnsi="Arial" w:cs="Arial"/>
          <w:sz w:val="22"/>
          <w:szCs w:val="22"/>
          <w:lang w:val="es-CL" w:eastAsia="es-CL"/>
        </w:rPr>
        <w:t xml:space="preserve"> que </w:t>
      </w:r>
      <w:r w:rsidR="00CE7A42" w:rsidRPr="00CD4CA7">
        <w:rPr>
          <w:rFonts w:ascii="Arial" w:eastAsia="Calibri" w:hAnsi="Arial" w:cs="Arial"/>
          <w:sz w:val="22"/>
          <w:szCs w:val="22"/>
          <w:lang w:val="es-CL" w:eastAsia="es-CL"/>
        </w:rPr>
        <w:t>estos</w:t>
      </w:r>
      <w:r w:rsidRPr="00CD4CA7">
        <w:rPr>
          <w:rFonts w:ascii="Arial" w:eastAsia="Calibri" w:hAnsi="Arial" w:cs="Arial"/>
          <w:sz w:val="22"/>
          <w:szCs w:val="22"/>
          <w:lang w:val="es-CL" w:eastAsia="es-CL"/>
        </w:rPr>
        <w:t xml:space="preserve"> contribuyentes </w:t>
      </w:r>
      <w:r w:rsidRPr="00CD4CA7">
        <w:rPr>
          <w:rFonts w:ascii="Arial" w:hAnsi="Arial" w:cs="Arial"/>
          <w:sz w:val="22"/>
          <w:szCs w:val="22"/>
        </w:rPr>
        <w:t xml:space="preserve">puedan solicitar que se les concedan los derechos contenidos en el artículo 11 ter del DL 600, de 1974, en las condiciones </w:t>
      </w:r>
      <w:r w:rsidR="00CE7A42" w:rsidRPr="00CD4CA7">
        <w:rPr>
          <w:rFonts w:ascii="Arial" w:hAnsi="Arial" w:cs="Arial"/>
          <w:sz w:val="22"/>
          <w:szCs w:val="22"/>
        </w:rPr>
        <w:t xml:space="preserve">que </w:t>
      </w:r>
      <w:r w:rsidRPr="00CD4CA7">
        <w:rPr>
          <w:rFonts w:ascii="Arial" w:hAnsi="Arial" w:cs="Arial"/>
          <w:sz w:val="22"/>
          <w:szCs w:val="22"/>
        </w:rPr>
        <w:t>establece.</w:t>
      </w:r>
    </w:p>
    <w:p w:rsidR="00464925" w:rsidRPr="00252C1F" w:rsidRDefault="00464925" w:rsidP="00464925">
      <w:pPr>
        <w:autoSpaceDE w:val="0"/>
        <w:autoSpaceDN w:val="0"/>
        <w:adjustRightInd w:val="0"/>
        <w:ind w:right="-162"/>
        <w:jc w:val="both"/>
        <w:rPr>
          <w:rFonts w:ascii="Arial" w:hAnsi="Arial" w:cs="Arial"/>
          <w:sz w:val="22"/>
          <w:szCs w:val="22"/>
        </w:rPr>
      </w:pPr>
    </w:p>
    <w:p w:rsidR="00464925" w:rsidRPr="006C1055" w:rsidRDefault="00CD4CA7" w:rsidP="00C22DD9">
      <w:pPr>
        <w:numPr>
          <w:ilvl w:val="0"/>
          <w:numId w:val="37"/>
        </w:numPr>
        <w:tabs>
          <w:tab w:val="left" w:pos="284"/>
        </w:tabs>
        <w:autoSpaceDE w:val="0"/>
        <w:autoSpaceDN w:val="0"/>
        <w:adjustRightInd w:val="0"/>
        <w:ind w:left="0" w:right="-162" w:firstLine="0"/>
        <w:jc w:val="both"/>
        <w:rPr>
          <w:rFonts w:ascii="Arial" w:hAnsi="Arial" w:cs="Arial"/>
          <w:b/>
          <w:sz w:val="22"/>
          <w:szCs w:val="22"/>
        </w:rPr>
      </w:pPr>
      <w:r>
        <w:rPr>
          <w:rFonts w:ascii="Arial" w:hAnsi="Arial" w:cs="Arial"/>
          <w:b/>
          <w:sz w:val="22"/>
          <w:szCs w:val="22"/>
        </w:rPr>
        <w:t>Requisitos</w:t>
      </w:r>
      <w:r w:rsidR="00464925" w:rsidRPr="006C1055">
        <w:rPr>
          <w:rFonts w:ascii="Arial" w:hAnsi="Arial" w:cs="Arial"/>
          <w:b/>
          <w:sz w:val="22"/>
          <w:szCs w:val="22"/>
        </w:rPr>
        <w:t>:</w:t>
      </w:r>
    </w:p>
    <w:p w:rsidR="00464925" w:rsidRPr="006C1055" w:rsidRDefault="00464925" w:rsidP="00464925">
      <w:pPr>
        <w:autoSpaceDE w:val="0"/>
        <w:autoSpaceDN w:val="0"/>
        <w:adjustRightInd w:val="0"/>
        <w:ind w:right="-162"/>
        <w:jc w:val="both"/>
        <w:rPr>
          <w:rFonts w:ascii="Arial" w:hAnsi="Arial" w:cs="Arial"/>
          <w:b/>
          <w:sz w:val="22"/>
          <w:szCs w:val="22"/>
        </w:rPr>
      </w:pPr>
    </w:p>
    <w:p w:rsidR="00464925" w:rsidRPr="00252C1F" w:rsidRDefault="00FF652B" w:rsidP="00702FCC">
      <w:pPr>
        <w:numPr>
          <w:ilvl w:val="0"/>
          <w:numId w:val="27"/>
        </w:numPr>
        <w:autoSpaceDE w:val="0"/>
        <w:autoSpaceDN w:val="0"/>
        <w:adjustRightInd w:val="0"/>
        <w:ind w:right="-162"/>
        <w:jc w:val="both"/>
        <w:rPr>
          <w:rFonts w:ascii="Arial" w:hAnsi="Arial" w:cs="Arial"/>
          <w:sz w:val="22"/>
          <w:szCs w:val="22"/>
        </w:rPr>
      </w:pPr>
      <w:r w:rsidRPr="00252C1F">
        <w:rPr>
          <w:rFonts w:ascii="Arial" w:hAnsi="Arial" w:cs="Arial"/>
          <w:sz w:val="22"/>
          <w:szCs w:val="22"/>
        </w:rPr>
        <w:t>De</w:t>
      </w:r>
      <w:r w:rsidR="00586852" w:rsidRPr="00252C1F">
        <w:rPr>
          <w:rFonts w:ascii="Arial" w:hAnsi="Arial" w:cs="Arial"/>
          <w:sz w:val="22"/>
          <w:szCs w:val="22"/>
        </w:rPr>
        <w:t>be</w:t>
      </w:r>
      <w:r w:rsidR="00CD4CA7">
        <w:rPr>
          <w:rFonts w:ascii="Arial" w:hAnsi="Arial" w:cs="Arial"/>
          <w:sz w:val="22"/>
          <w:szCs w:val="22"/>
        </w:rPr>
        <w:t xml:space="preserve"> tratarse de </w:t>
      </w:r>
      <w:r w:rsidR="00CD4CA7" w:rsidRPr="00252C1F">
        <w:rPr>
          <w:rFonts w:ascii="Arial" w:eastAsia="Calibri" w:hAnsi="Arial" w:cs="Arial"/>
          <w:sz w:val="22"/>
          <w:szCs w:val="22"/>
          <w:lang w:val="es-CL" w:eastAsia="es-CL"/>
        </w:rPr>
        <w:t>empresas</w:t>
      </w:r>
      <w:r w:rsidR="00464925" w:rsidRPr="00252C1F">
        <w:rPr>
          <w:rFonts w:ascii="Arial" w:eastAsia="Calibri" w:hAnsi="Arial" w:cs="Arial"/>
          <w:sz w:val="22"/>
          <w:szCs w:val="22"/>
          <w:lang w:val="es-CL" w:eastAsia="es-CL"/>
        </w:rPr>
        <w:t xml:space="preserve"> que, no siendo receptoras del aporte de inversionistas extranjeros, h</w:t>
      </w:r>
      <w:r w:rsidR="00863782">
        <w:rPr>
          <w:rFonts w:ascii="Arial" w:eastAsia="Calibri" w:hAnsi="Arial" w:cs="Arial"/>
          <w:sz w:val="22"/>
          <w:szCs w:val="22"/>
          <w:lang w:val="es-CL" w:eastAsia="es-CL"/>
        </w:rPr>
        <w:t>ayan</w:t>
      </w:r>
      <w:r w:rsidR="00464925" w:rsidRPr="00252C1F">
        <w:rPr>
          <w:rFonts w:ascii="Arial" w:eastAsia="Calibri" w:hAnsi="Arial" w:cs="Arial"/>
          <w:sz w:val="22"/>
          <w:szCs w:val="22"/>
          <w:lang w:val="es-CL" w:eastAsia="es-CL"/>
        </w:rPr>
        <w:t xml:space="preserve"> iniciado la explotación de un proyecto minero con anterioridad a la entrada en vigencia de la Ley 20.469</w:t>
      </w:r>
      <w:r w:rsidR="00702FCC" w:rsidRPr="00252C1F">
        <w:rPr>
          <w:rFonts w:ascii="Arial" w:eastAsia="Calibri" w:hAnsi="Arial" w:cs="Arial"/>
          <w:sz w:val="22"/>
          <w:szCs w:val="22"/>
          <w:lang w:val="es-CL" w:eastAsia="es-CL"/>
        </w:rPr>
        <w:t>;</w:t>
      </w:r>
      <w:r w:rsidR="006D45D9" w:rsidRPr="00252C1F">
        <w:rPr>
          <w:rFonts w:ascii="Arial" w:eastAsia="Calibri" w:hAnsi="Arial" w:cs="Arial"/>
          <w:sz w:val="22"/>
          <w:szCs w:val="22"/>
          <w:lang w:val="es-CL" w:eastAsia="es-CL"/>
        </w:rPr>
        <w:t xml:space="preserve"> </w:t>
      </w:r>
      <w:r w:rsidR="006D45D9" w:rsidRPr="00252C1F">
        <w:rPr>
          <w:rStyle w:val="Refdenotaalpie"/>
          <w:rFonts w:ascii="Arial" w:eastAsia="Calibri" w:hAnsi="Arial" w:cs="Arial"/>
          <w:sz w:val="22"/>
          <w:szCs w:val="22"/>
          <w:lang w:val="es-CL" w:eastAsia="es-CL"/>
        </w:rPr>
        <w:footnoteReference w:id="20"/>
      </w:r>
    </w:p>
    <w:p w:rsidR="00464925" w:rsidRPr="00252C1F" w:rsidRDefault="00464925" w:rsidP="00464925">
      <w:pPr>
        <w:autoSpaceDE w:val="0"/>
        <w:autoSpaceDN w:val="0"/>
        <w:adjustRightInd w:val="0"/>
        <w:ind w:right="-162"/>
        <w:jc w:val="both"/>
        <w:rPr>
          <w:rFonts w:ascii="Arial" w:hAnsi="Arial" w:cs="Arial"/>
          <w:sz w:val="22"/>
          <w:szCs w:val="22"/>
        </w:rPr>
      </w:pPr>
    </w:p>
    <w:p w:rsidR="00464925" w:rsidRPr="00252C1F" w:rsidRDefault="00863782" w:rsidP="00702FCC">
      <w:pPr>
        <w:numPr>
          <w:ilvl w:val="0"/>
          <w:numId w:val="27"/>
        </w:numPr>
        <w:autoSpaceDE w:val="0"/>
        <w:autoSpaceDN w:val="0"/>
        <w:adjustRightInd w:val="0"/>
        <w:ind w:right="-93"/>
        <w:jc w:val="both"/>
        <w:rPr>
          <w:rFonts w:ascii="Arial" w:eastAsia="Calibri" w:hAnsi="Arial" w:cs="Arial"/>
          <w:sz w:val="22"/>
          <w:szCs w:val="22"/>
          <w:lang w:val="es-CL" w:eastAsia="es-CL"/>
        </w:rPr>
      </w:pPr>
      <w:r>
        <w:rPr>
          <w:rFonts w:ascii="Arial" w:eastAsia="Calibri" w:hAnsi="Arial" w:cs="Arial"/>
          <w:sz w:val="22"/>
          <w:szCs w:val="22"/>
          <w:lang w:val="es-CL" w:eastAsia="es-CL"/>
        </w:rPr>
        <w:t>Deben estar</w:t>
      </w:r>
      <w:r w:rsidR="00464925" w:rsidRPr="00252C1F">
        <w:rPr>
          <w:rFonts w:ascii="Arial" w:eastAsia="Calibri" w:hAnsi="Arial" w:cs="Arial"/>
          <w:sz w:val="22"/>
          <w:szCs w:val="22"/>
          <w:lang w:val="es-CL" w:eastAsia="es-CL"/>
        </w:rPr>
        <w:t xml:space="preserve"> afect</w:t>
      </w:r>
      <w:r w:rsidR="00B24116" w:rsidRPr="00252C1F">
        <w:rPr>
          <w:rFonts w:ascii="Arial" w:eastAsia="Calibri" w:hAnsi="Arial" w:cs="Arial"/>
          <w:sz w:val="22"/>
          <w:szCs w:val="22"/>
          <w:lang w:val="es-CL" w:eastAsia="es-CL"/>
        </w:rPr>
        <w:t>o</w:t>
      </w:r>
      <w:r w:rsidR="00464925" w:rsidRPr="00252C1F">
        <w:rPr>
          <w:rFonts w:ascii="Arial" w:eastAsia="Calibri" w:hAnsi="Arial" w:cs="Arial"/>
          <w:sz w:val="22"/>
          <w:szCs w:val="22"/>
          <w:lang w:val="es-CL" w:eastAsia="es-CL"/>
        </w:rPr>
        <w:t xml:space="preserve">s al </w:t>
      </w:r>
      <w:r w:rsidR="00464925" w:rsidRPr="00B23B40">
        <w:rPr>
          <w:rFonts w:ascii="Arial" w:eastAsia="Calibri" w:hAnsi="Arial" w:cs="Arial"/>
          <w:b/>
          <w:sz w:val="22"/>
          <w:szCs w:val="22"/>
          <w:lang w:val="es-CL" w:eastAsia="es-CL"/>
        </w:rPr>
        <w:t>I</w:t>
      </w:r>
      <w:r w:rsidR="00702FCC" w:rsidRPr="00B23B40">
        <w:rPr>
          <w:rFonts w:ascii="Arial" w:eastAsia="Calibri" w:hAnsi="Arial" w:cs="Arial"/>
          <w:b/>
          <w:sz w:val="22"/>
          <w:szCs w:val="22"/>
          <w:lang w:val="es-CL" w:eastAsia="es-CL"/>
        </w:rPr>
        <w:t>EA</w:t>
      </w:r>
      <w:r w:rsidR="008E499E">
        <w:rPr>
          <w:rFonts w:ascii="Arial" w:eastAsia="Calibri" w:hAnsi="Arial" w:cs="Arial"/>
          <w:sz w:val="22"/>
          <w:szCs w:val="22"/>
          <w:lang w:val="es-CL" w:eastAsia="es-CL"/>
        </w:rPr>
        <w:t xml:space="preserve"> del artículo 64 bis de la LIR</w:t>
      </w:r>
      <w:r w:rsidR="008D13D7">
        <w:rPr>
          <w:rFonts w:ascii="Arial" w:eastAsia="Calibri" w:hAnsi="Arial" w:cs="Arial"/>
          <w:sz w:val="22"/>
          <w:szCs w:val="22"/>
          <w:lang w:val="es-CL" w:eastAsia="es-CL"/>
        </w:rPr>
        <w:t>, en los términos ya comentados</w:t>
      </w:r>
      <w:r w:rsidR="008E499E">
        <w:rPr>
          <w:rFonts w:ascii="Arial" w:eastAsia="Calibri" w:hAnsi="Arial" w:cs="Arial"/>
          <w:sz w:val="22"/>
          <w:szCs w:val="22"/>
          <w:lang w:val="es-CL" w:eastAsia="es-CL"/>
        </w:rPr>
        <w:t>;</w:t>
      </w:r>
    </w:p>
    <w:p w:rsidR="00464925" w:rsidRPr="00252C1F" w:rsidRDefault="00464925" w:rsidP="00464925">
      <w:pPr>
        <w:autoSpaceDE w:val="0"/>
        <w:autoSpaceDN w:val="0"/>
        <w:adjustRightInd w:val="0"/>
        <w:ind w:right="-162"/>
        <w:jc w:val="both"/>
        <w:rPr>
          <w:rFonts w:ascii="Arial" w:hAnsi="Arial" w:cs="Arial"/>
          <w:sz w:val="22"/>
          <w:szCs w:val="22"/>
          <w:lang w:val="es-CL"/>
        </w:rPr>
      </w:pPr>
    </w:p>
    <w:p w:rsidR="00A713D2" w:rsidRPr="008D13D7" w:rsidRDefault="00A713D2" w:rsidP="00863782">
      <w:pPr>
        <w:numPr>
          <w:ilvl w:val="0"/>
          <w:numId w:val="27"/>
        </w:numPr>
        <w:autoSpaceDE w:val="0"/>
        <w:autoSpaceDN w:val="0"/>
        <w:adjustRightInd w:val="0"/>
        <w:ind w:right="-162"/>
        <w:jc w:val="both"/>
        <w:rPr>
          <w:rFonts w:ascii="Arial" w:hAnsi="Arial" w:cs="Arial"/>
          <w:sz w:val="22"/>
          <w:szCs w:val="22"/>
        </w:rPr>
      </w:pPr>
      <w:r w:rsidRPr="008D13D7">
        <w:rPr>
          <w:rFonts w:ascii="Arial" w:hAnsi="Arial" w:cs="Arial"/>
          <w:sz w:val="22"/>
          <w:szCs w:val="22"/>
        </w:rPr>
        <w:t xml:space="preserve">Deberán presentar la solicitud al Ministerio de Economía, Fomento y Turismo, dentro del plazo de 60 días </w:t>
      </w:r>
      <w:r w:rsidR="00863782" w:rsidRPr="008D13D7">
        <w:rPr>
          <w:rFonts w:ascii="Arial" w:hAnsi="Arial" w:cs="Arial"/>
          <w:sz w:val="22"/>
          <w:szCs w:val="22"/>
        </w:rPr>
        <w:t>hábiles</w:t>
      </w:r>
      <w:r w:rsidRPr="008D13D7">
        <w:rPr>
          <w:rFonts w:ascii="Arial" w:hAnsi="Arial" w:cs="Arial"/>
          <w:sz w:val="22"/>
          <w:szCs w:val="22"/>
        </w:rPr>
        <w:t xml:space="preserve"> contados desde la fecha de entrada en vigencia de esta ley</w:t>
      </w:r>
      <w:r w:rsidR="00533485" w:rsidRPr="008D13D7">
        <w:rPr>
          <w:rFonts w:ascii="Arial" w:hAnsi="Arial" w:cs="Arial"/>
          <w:sz w:val="22"/>
          <w:szCs w:val="22"/>
        </w:rPr>
        <w:t>.</w:t>
      </w:r>
      <w:r w:rsidRPr="008D13D7">
        <w:rPr>
          <w:rFonts w:ascii="Arial" w:hAnsi="Arial" w:cs="Arial"/>
          <w:sz w:val="22"/>
          <w:szCs w:val="22"/>
        </w:rPr>
        <w:t xml:space="preserve"> </w:t>
      </w:r>
      <w:r w:rsidR="003951F8" w:rsidRPr="008D13D7">
        <w:rPr>
          <w:rStyle w:val="Refdenotaalpie"/>
          <w:rFonts w:ascii="Arial" w:hAnsi="Arial" w:cs="Arial"/>
          <w:sz w:val="22"/>
          <w:szCs w:val="22"/>
        </w:rPr>
        <w:footnoteReference w:id="21"/>
      </w:r>
      <w:r w:rsidR="00863782" w:rsidRPr="008D13D7">
        <w:rPr>
          <w:rFonts w:ascii="Arial" w:hAnsi="Arial" w:cs="Arial"/>
          <w:sz w:val="22"/>
          <w:szCs w:val="22"/>
        </w:rPr>
        <w:t xml:space="preserve"> Si bien la Ley se refiere en principio a que el plazo señalado sería de días corridos, a continuaci</w:t>
      </w:r>
      <w:r w:rsidR="00755E25" w:rsidRPr="008D13D7">
        <w:rPr>
          <w:rFonts w:ascii="Arial" w:hAnsi="Arial" w:cs="Arial"/>
          <w:sz w:val="22"/>
          <w:szCs w:val="22"/>
        </w:rPr>
        <w:t>ón, y en el mi</w:t>
      </w:r>
      <w:r w:rsidR="00863782" w:rsidRPr="008D13D7">
        <w:rPr>
          <w:rFonts w:ascii="Arial" w:hAnsi="Arial" w:cs="Arial"/>
          <w:sz w:val="22"/>
          <w:szCs w:val="22"/>
        </w:rPr>
        <w:t>s</w:t>
      </w:r>
      <w:r w:rsidR="00755E25" w:rsidRPr="008D13D7">
        <w:rPr>
          <w:rFonts w:ascii="Arial" w:hAnsi="Arial" w:cs="Arial"/>
          <w:sz w:val="22"/>
          <w:szCs w:val="22"/>
        </w:rPr>
        <w:t>m</w:t>
      </w:r>
      <w:r w:rsidR="00863782" w:rsidRPr="008D13D7">
        <w:rPr>
          <w:rFonts w:ascii="Arial" w:hAnsi="Arial" w:cs="Arial"/>
          <w:sz w:val="22"/>
          <w:szCs w:val="22"/>
        </w:rPr>
        <w:t xml:space="preserve">o N°1 del artículo 4° transitorio, dispone que la solicitud debe formularse en los mismos términos </w:t>
      </w:r>
      <w:r w:rsidR="00755E25" w:rsidRPr="008D13D7">
        <w:rPr>
          <w:rFonts w:ascii="Arial" w:hAnsi="Arial" w:cs="Arial"/>
          <w:sz w:val="22"/>
          <w:szCs w:val="22"/>
        </w:rPr>
        <w:t xml:space="preserve">y dentro del plazo establecidos en los incisos 6° y 7° del artículo 2° transitorio. El citado inciso 7°, se refiere a que dicho plazo </w:t>
      </w:r>
      <w:r w:rsidR="008D13D7" w:rsidRPr="008D13D7">
        <w:rPr>
          <w:rFonts w:ascii="Arial" w:hAnsi="Arial" w:cs="Arial"/>
          <w:sz w:val="22"/>
          <w:szCs w:val="22"/>
        </w:rPr>
        <w:t xml:space="preserve">es </w:t>
      </w:r>
      <w:r w:rsidR="00755E25" w:rsidRPr="008D13D7">
        <w:rPr>
          <w:rFonts w:ascii="Arial" w:hAnsi="Arial" w:cs="Arial"/>
          <w:sz w:val="22"/>
          <w:szCs w:val="22"/>
        </w:rPr>
        <w:t>de días hábiles, de modo que este Servicio entiende que es ésta última la regla aplicable en este caso;</w:t>
      </w:r>
    </w:p>
    <w:p w:rsidR="00A713D2" w:rsidRPr="00252C1F" w:rsidRDefault="00A713D2" w:rsidP="00A713D2">
      <w:pPr>
        <w:autoSpaceDE w:val="0"/>
        <w:autoSpaceDN w:val="0"/>
        <w:adjustRightInd w:val="0"/>
        <w:ind w:right="-162"/>
        <w:jc w:val="both"/>
        <w:rPr>
          <w:rFonts w:ascii="Arial" w:hAnsi="Arial" w:cs="Arial"/>
          <w:sz w:val="22"/>
          <w:szCs w:val="22"/>
        </w:rPr>
      </w:pPr>
    </w:p>
    <w:p w:rsidR="008E499E" w:rsidRDefault="00DB085F" w:rsidP="00863782">
      <w:pPr>
        <w:numPr>
          <w:ilvl w:val="0"/>
          <w:numId w:val="27"/>
        </w:numPr>
        <w:autoSpaceDE w:val="0"/>
        <w:autoSpaceDN w:val="0"/>
        <w:adjustRightInd w:val="0"/>
        <w:ind w:right="-162"/>
        <w:jc w:val="both"/>
        <w:rPr>
          <w:rFonts w:ascii="Arial" w:hAnsi="Arial" w:cs="Arial"/>
          <w:sz w:val="22"/>
          <w:szCs w:val="22"/>
        </w:rPr>
      </w:pPr>
      <w:r w:rsidRPr="008E499E">
        <w:rPr>
          <w:rFonts w:ascii="Arial" w:hAnsi="Arial" w:cs="Arial"/>
          <w:sz w:val="22"/>
          <w:szCs w:val="22"/>
        </w:rPr>
        <w:t>S</w:t>
      </w:r>
      <w:r w:rsidR="00A713D2" w:rsidRPr="008E499E">
        <w:rPr>
          <w:rFonts w:ascii="Arial" w:hAnsi="Arial" w:cs="Arial"/>
          <w:sz w:val="22"/>
          <w:szCs w:val="22"/>
        </w:rPr>
        <w:t>uscribir</w:t>
      </w:r>
      <w:r w:rsidRPr="008E499E">
        <w:rPr>
          <w:rFonts w:ascii="Arial" w:hAnsi="Arial" w:cs="Arial"/>
          <w:sz w:val="22"/>
          <w:szCs w:val="22"/>
        </w:rPr>
        <w:t xml:space="preserve"> </w:t>
      </w:r>
      <w:r w:rsidR="008E499E">
        <w:rPr>
          <w:rFonts w:ascii="Arial" w:hAnsi="Arial" w:cs="Arial"/>
          <w:sz w:val="22"/>
          <w:szCs w:val="22"/>
        </w:rPr>
        <w:t xml:space="preserve">posteriormente </w:t>
      </w:r>
      <w:r w:rsidRPr="008E499E">
        <w:rPr>
          <w:rFonts w:ascii="Arial" w:hAnsi="Arial" w:cs="Arial"/>
          <w:sz w:val="22"/>
          <w:szCs w:val="22"/>
        </w:rPr>
        <w:t>con</w:t>
      </w:r>
      <w:r w:rsidR="008718AB" w:rsidRPr="008E499E">
        <w:rPr>
          <w:rFonts w:ascii="Arial" w:hAnsi="Arial" w:cs="Arial"/>
          <w:sz w:val="22"/>
          <w:szCs w:val="22"/>
        </w:rPr>
        <w:t xml:space="preserve"> el Estado de Chile, representado por</w:t>
      </w:r>
      <w:r w:rsidR="00A713D2" w:rsidRPr="008E499E">
        <w:rPr>
          <w:rFonts w:ascii="Arial" w:hAnsi="Arial" w:cs="Arial"/>
          <w:sz w:val="22"/>
          <w:szCs w:val="22"/>
        </w:rPr>
        <w:t xml:space="preserve"> dicho Ministerio, el</w:t>
      </w:r>
      <w:r w:rsidRPr="008E499E">
        <w:rPr>
          <w:rFonts w:ascii="Arial" w:hAnsi="Arial" w:cs="Arial"/>
          <w:sz w:val="22"/>
          <w:szCs w:val="22"/>
        </w:rPr>
        <w:t xml:space="preserve"> </w:t>
      </w:r>
      <w:r w:rsidR="00A713D2" w:rsidRPr="008E499E">
        <w:rPr>
          <w:rFonts w:ascii="Arial" w:hAnsi="Arial" w:cs="Arial"/>
          <w:sz w:val="22"/>
          <w:szCs w:val="22"/>
        </w:rPr>
        <w:t>respectivo contrato de inversión</w:t>
      </w:r>
      <w:r w:rsidR="008E499E">
        <w:rPr>
          <w:rFonts w:ascii="Arial" w:hAnsi="Arial" w:cs="Arial"/>
          <w:sz w:val="22"/>
          <w:szCs w:val="22"/>
        </w:rPr>
        <w:t>;</w:t>
      </w:r>
      <w:r w:rsidR="00A713D2" w:rsidRPr="008E499E">
        <w:rPr>
          <w:rFonts w:ascii="Arial" w:hAnsi="Arial" w:cs="Arial"/>
          <w:sz w:val="22"/>
          <w:szCs w:val="22"/>
        </w:rPr>
        <w:t xml:space="preserve"> </w:t>
      </w:r>
    </w:p>
    <w:p w:rsidR="008E499E" w:rsidRDefault="008E499E" w:rsidP="008E499E">
      <w:pPr>
        <w:pStyle w:val="Prrafodelista"/>
        <w:rPr>
          <w:rFonts w:ascii="Arial" w:hAnsi="Arial" w:cs="Arial"/>
          <w:sz w:val="22"/>
          <w:szCs w:val="22"/>
        </w:rPr>
      </w:pPr>
    </w:p>
    <w:p w:rsidR="008E499E" w:rsidRDefault="00A713D2" w:rsidP="008E499E">
      <w:pPr>
        <w:numPr>
          <w:ilvl w:val="0"/>
          <w:numId w:val="27"/>
        </w:numPr>
        <w:autoSpaceDE w:val="0"/>
        <w:autoSpaceDN w:val="0"/>
        <w:adjustRightInd w:val="0"/>
        <w:ind w:right="-162"/>
        <w:jc w:val="both"/>
        <w:rPr>
          <w:rFonts w:ascii="Arial" w:hAnsi="Arial" w:cs="Arial"/>
          <w:sz w:val="22"/>
          <w:szCs w:val="22"/>
        </w:rPr>
      </w:pPr>
      <w:r w:rsidRPr="008E499E">
        <w:rPr>
          <w:rFonts w:ascii="Arial" w:hAnsi="Arial" w:cs="Arial"/>
          <w:sz w:val="22"/>
          <w:szCs w:val="22"/>
        </w:rPr>
        <w:t xml:space="preserve">Durante los </w:t>
      </w:r>
      <w:r w:rsidR="00DB085F" w:rsidRPr="008E499E">
        <w:rPr>
          <w:rFonts w:ascii="Arial" w:hAnsi="Arial" w:cs="Arial"/>
          <w:sz w:val="22"/>
          <w:szCs w:val="22"/>
        </w:rPr>
        <w:t xml:space="preserve">años </w:t>
      </w:r>
      <w:r w:rsidRPr="008E499E">
        <w:rPr>
          <w:rFonts w:ascii="Arial" w:hAnsi="Arial" w:cs="Arial"/>
          <w:sz w:val="22"/>
          <w:szCs w:val="22"/>
        </w:rPr>
        <w:t>calendarios 2010, 2011 y 2012,</w:t>
      </w:r>
      <w:r w:rsidR="00DB085F" w:rsidRPr="008E499E">
        <w:rPr>
          <w:rFonts w:ascii="Arial" w:hAnsi="Arial" w:cs="Arial"/>
          <w:sz w:val="22"/>
          <w:szCs w:val="22"/>
        </w:rPr>
        <w:t xml:space="preserve"> </w:t>
      </w:r>
      <w:r w:rsidRPr="008E499E">
        <w:rPr>
          <w:rFonts w:ascii="Arial" w:hAnsi="Arial" w:cs="Arial"/>
          <w:sz w:val="22"/>
          <w:szCs w:val="22"/>
        </w:rPr>
        <w:t>el I</w:t>
      </w:r>
      <w:r w:rsidR="00984ACB" w:rsidRPr="008E499E">
        <w:rPr>
          <w:rFonts w:ascii="Arial" w:hAnsi="Arial" w:cs="Arial"/>
          <w:sz w:val="22"/>
          <w:szCs w:val="22"/>
        </w:rPr>
        <w:t>EM</w:t>
      </w:r>
      <w:r w:rsidRPr="008E499E">
        <w:rPr>
          <w:rFonts w:ascii="Arial" w:hAnsi="Arial" w:cs="Arial"/>
          <w:sz w:val="22"/>
          <w:szCs w:val="22"/>
        </w:rPr>
        <w:t xml:space="preserve"> se aplicará en</w:t>
      </w:r>
      <w:r w:rsidR="00DB085F" w:rsidRPr="008E499E">
        <w:rPr>
          <w:rFonts w:ascii="Arial" w:hAnsi="Arial" w:cs="Arial"/>
          <w:sz w:val="22"/>
          <w:szCs w:val="22"/>
        </w:rPr>
        <w:t xml:space="preserve"> </w:t>
      </w:r>
      <w:r w:rsidRPr="008E499E">
        <w:rPr>
          <w:rFonts w:ascii="Arial" w:hAnsi="Arial" w:cs="Arial"/>
          <w:sz w:val="22"/>
          <w:szCs w:val="22"/>
        </w:rPr>
        <w:t>conformidad con las reglas establecidas en los artículos 64 bis y 64 ter de la LIR</w:t>
      </w:r>
      <w:r w:rsidR="00984ACB" w:rsidRPr="008E499E">
        <w:rPr>
          <w:rFonts w:ascii="Arial" w:hAnsi="Arial" w:cs="Arial"/>
          <w:sz w:val="22"/>
          <w:szCs w:val="22"/>
        </w:rPr>
        <w:t>, e</w:t>
      </w:r>
      <w:r w:rsidRPr="008E499E">
        <w:rPr>
          <w:rFonts w:ascii="Arial" w:hAnsi="Arial" w:cs="Arial"/>
          <w:sz w:val="22"/>
          <w:szCs w:val="22"/>
        </w:rPr>
        <w:t>llo, independientemente de la fecha en que el Estado de Chile y la</w:t>
      </w:r>
      <w:r w:rsidR="00DB085F" w:rsidRPr="008E499E">
        <w:rPr>
          <w:rFonts w:ascii="Arial" w:hAnsi="Arial" w:cs="Arial"/>
          <w:sz w:val="22"/>
          <w:szCs w:val="22"/>
        </w:rPr>
        <w:t xml:space="preserve"> </w:t>
      </w:r>
      <w:r w:rsidRPr="008E499E">
        <w:rPr>
          <w:rFonts w:ascii="Arial" w:hAnsi="Arial" w:cs="Arial"/>
          <w:sz w:val="22"/>
          <w:szCs w:val="22"/>
        </w:rPr>
        <w:t>empresa respectiva suscriban el corres</w:t>
      </w:r>
      <w:r w:rsidR="008E499E">
        <w:rPr>
          <w:rFonts w:ascii="Arial" w:hAnsi="Arial" w:cs="Arial"/>
          <w:sz w:val="22"/>
          <w:szCs w:val="22"/>
        </w:rPr>
        <w:t>pondiente contrato de inversión;</w:t>
      </w:r>
    </w:p>
    <w:p w:rsidR="008E499E" w:rsidRDefault="008E499E" w:rsidP="008E499E">
      <w:pPr>
        <w:autoSpaceDE w:val="0"/>
        <w:autoSpaceDN w:val="0"/>
        <w:adjustRightInd w:val="0"/>
        <w:ind w:left="720" w:right="-162"/>
        <w:jc w:val="both"/>
        <w:rPr>
          <w:rFonts w:ascii="Arial" w:hAnsi="Arial" w:cs="Arial"/>
          <w:sz w:val="22"/>
          <w:szCs w:val="22"/>
        </w:rPr>
      </w:pPr>
    </w:p>
    <w:p w:rsidR="00A713D2" w:rsidRPr="008D13D7" w:rsidRDefault="00A713D2" w:rsidP="008E499E">
      <w:pPr>
        <w:numPr>
          <w:ilvl w:val="0"/>
          <w:numId w:val="27"/>
        </w:numPr>
        <w:autoSpaceDE w:val="0"/>
        <w:autoSpaceDN w:val="0"/>
        <w:adjustRightInd w:val="0"/>
        <w:ind w:right="-162"/>
        <w:jc w:val="both"/>
        <w:rPr>
          <w:rFonts w:ascii="Arial" w:hAnsi="Arial" w:cs="Arial"/>
          <w:sz w:val="22"/>
          <w:szCs w:val="22"/>
        </w:rPr>
      </w:pPr>
      <w:r w:rsidRPr="008D13D7">
        <w:rPr>
          <w:rFonts w:ascii="Arial" w:hAnsi="Arial" w:cs="Arial"/>
          <w:sz w:val="22"/>
          <w:szCs w:val="22"/>
        </w:rPr>
        <w:t>A partir del año calendario 2013</w:t>
      </w:r>
      <w:r w:rsidR="008A2E9D" w:rsidRPr="008D13D7">
        <w:rPr>
          <w:rFonts w:ascii="Arial" w:hAnsi="Arial" w:cs="Arial"/>
          <w:sz w:val="22"/>
          <w:szCs w:val="22"/>
        </w:rPr>
        <w:t xml:space="preserve"> (</w:t>
      </w:r>
      <w:r w:rsidRPr="008D13D7">
        <w:rPr>
          <w:rFonts w:ascii="Arial" w:hAnsi="Arial" w:cs="Arial"/>
          <w:sz w:val="22"/>
          <w:szCs w:val="22"/>
        </w:rPr>
        <w:t>inclusive</w:t>
      </w:r>
      <w:r w:rsidR="008A2E9D" w:rsidRPr="008D13D7">
        <w:rPr>
          <w:rFonts w:ascii="Arial" w:hAnsi="Arial" w:cs="Arial"/>
          <w:sz w:val="22"/>
          <w:szCs w:val="22"/>
        </w:rPr>
        <w:t>)</w:t>
      </w:r>
      <w:r w:rsidRPr="008D13D7">
        <w:rPr>
          <w:rFonts w:ascii="Arial" w:hAnsi="Arial" w:cs="Arial"/>
          <w:sz w:val="22"/>
          <w:szCs w:val="22"/>
        </w:rPr>
        <w:t xml:space="preserve"> y hasta el término del primer</w:t>
      </w:r>
      <w:r w:rsidR="00DB085F" w:rsidRPr="008D13D7">
        <w:rPr>
          <w:rFonts w:ascii="Arial" w:hAnsi="Arial" w:cs="Arial"/>
          <w:sz w:val="22"/>
          <w:szCs w:val="22"/>
        </w:rPr>
        <w:t xml:space="preserve"> </w:t>
      </w:r>
      <w:r w:rsidRPr="008D13D7">
        <w:rPr>
          <w:rFonts w:ascii="Arial" w:hAnsi="Arial" w:cs="Arial"/>
          <w:sz w:val="22"/>
          <w:szCs w:val="22"/>
        </w:rPr>
        <w:t>período de régimen de invariabilidad establecido para estas empresas en los contratos</w:t>
      </w:r>
      <w:r w:rsidR="00DB085F" w:rsidRPr="008D13D7">
        <w:rPr>
          <w:rFonts w:ascii="Arial" w:hAnsi="Arial" w:cs="Arial"/>
          <w:sz w:val="22"/>
          <w:szCs w:val="22"/>
        </w:rPr>
        <w:t xml:space="preserve"> </w:t>
      </w:r>
      <w:r w:rsidRPr="008D13D7">
        <w:rPr>
          <w:rFonts w:ascii="Arial" w:hAnsi="Arial" w:cs="Arial"/>
          <w:sz w:val="22"/>
          <w:szCs w:val="22"/>
        </w:rPr>
        <w:t>señalados</w:t>
      </w:r>
      <w:r w:rsidR="008A2E9D" w:rsidRPr="008D13D7">
        <w:rPr>
          <w:rFonts w:ascii="Arial" w:hAnsi="Arial" w:cs="Arial"/>
          <w:sz w:val="22"/>
          <w:szCs w:val="22"/>
        </w:rPr>
        <w:t>, lo que de acuerdo a la Ley</w:t>
      </w:r>
      <w:r w:rsidRPr="008D13D7">
        <w:rPr>
          <w:rFonts w:ascii="Arial" w:hAnsi="Arial" w:cs="Arial"/>
          <w:sz w:val="22"/>
          <w:szCs w:val="22"/>
        </w:rPr>
        <w:t xml:space="preserve"> ocurrirá el 31 de diciembre de 2017, </w:t>
      </w:r>
      <w:r w:rsidR="008A2E9D" w:rsidRPr="008D13D7">
        <w:rPr>
          <w:rFonts w:ascii="Arial" w:hAnsi="Arial" w:cs="Arial"/>
          <w:sz w:val="22"/>
          <w:szCs w:val="22"/>
        </w:rPr>
        <w:t xml:space="preserve">el </w:t>
      </w:r>
      <w:r w:rsidR="008A2E9D" w:rsidRPr="008D13D7">
        <w:rPr>
          <w:rFonts w:ascii="Arial" w:hAnsi="Arial" w:cs="Arial"/>
          <w:b/>
          <w:sz w:val="22"/>
          <w:szCs w:val="22"/>
        </w:rPr>
        <w:t>IEM</w:t>
      </w:r>
      <w:r w:rsidR="008A2E9D" w:rsidRPr="008D13D7">
        <w:rPr>
          <w:rFonts w:ascii="Arial" w:hAnsi="Arial" w:cs="Arial"/>
          <w:sz w:val="22"/>
          <w:szCs w:val="22"/>
        </w:rPr>
        <w:t xml:space="preserve"> </w:t>
      </w:r>
      <w:r w:rsidRPr="008D13D7">
        <w:rPr>
          <w:rFonts w:ascii="Arial" w:hAnsi="Arial" w:cs="Arial"/>
          <w:sz w:val="22"/>
          <w:szCs w:val="22"/>
        </w:rPr>
        <w:t>se aplicará</w:t>
      </w:r>
      <w:r w:rsidR="00DB085F" w:rsidRPr="008D13D7">
        <w:rPr>
          <w:rFonts w:ascii="Arial" w:hAnsi="Arial" w:cs="Arial"/>
          <w:sz w:val="22"/>
          <w:szCs w:val="22"/>
        </w:rPr>
        <w:t xml:space="preserve"> </w:t>
      </w:r>
      <w:r w:rsidRPr="008D13D7">
        <w:rPr>
          <w:rFonts w:ascii="Arial" w:hAnsi="Arial" w:cs="Arial"/>
          <w:sz w:val="22"/>
          <w:szCs w:val="22"/>
        </w:rPr>
        <w:t xml:space="preserve">con una tasa de 5% sobre la </w:t>
      </w:r>
      <w:r w:rsidR="008A2E9D" w:rsidRPr="008D13D7">
        <w:rPr>
          <w:rFonts w:ascii="Arial" w:hAnsi="Arial" w:cs="Arial"/>
          <w:b/>
          <w:sz w:val="22"/>
          <w:szCs w:val="22"/>
        </w:rPr>
        <w:t>RIOM</w:t>
      </w:r>
      <w:r w:rsidR="00DB085F" w:rsidRPr="008D13D7">
        <w:rPr>
          <w:rFonts w:ascii="Arial" w:hAnsi="Arial" w:cs="Arial"/>
          <w:sz w:val="22"/>
          <w:szCs w:val="22"/>
        </w:rPr>
        <w:t xml:space="preserve"> </w:t>
      </w:r>
      <w:r w:rsidRPr="008D13D7">
        <w:rPr>
          <w:rFonts w:ascii="Arial" w:hAnsi="Arial" w:cs="Arial"/>
          <w:sz w:val="22"/>
          <w:szCs w:val="22"/>
        </w:rPr>
        <w:t xml:space="preserve">determinada en conformidad con los artículos 64 bis y 64 ter de la LIR según </w:t>
      </w:r>
      <w:r w:rsidR="008A2E9D" w:rsidRPr="008D13D7">
        <w:rPr>
          <w:rFonts w:ascii="Arial" w:hAnsi="Arial" w:cs="Arial"/>
          <w:sz w:val="22"/>
          <w:szCs w:val="22"/>
        </w:rPr>
        <w:t>sus</w:t>
      </w:r>
      <w:r w:rsidRPr="008D13D7">
        <w:rPr>
          <w:rFonts w:ascii="Arial" w:hAnsi="Arial" w:cs="Arial"/>
          <w:sz w:val="22"/>
          <w:szCs w:val="22"/>
        </w:rPr>
        <w:t xml:space="preserve"> texto</w:t>
      </w:r>
      <w:r w:rsidR="008A2E9D" w:rsidRPr="008D13D7">
        <w:rPr>
          <w:rFonts w:ascii="Arial" w:hAnsi="Arial" w:cs="Arial"/>
          <w:sz w:val="22"/>
          <w:szCs w:val="22"/>
        </w:rPr>
        <w:t>s</w:t>
      </w:r>
      <w:r w:rsidRPr="008D13D7">
        <w:rPr>
          <w:rFonts w:ascii="Arial" w:hAnsi="Arial" w:cs="Arial"/>
          <w:sz w:val="22"/>
          <w:szCs w:val="22"/>
        </w:rPr>
        <w:t xml:space="preserve"> establecidos </w:t>
      </w:r>
      <w:r w:rsidR="008A2E9D" w:rsidRPr="008D13D7">
        <w:rPr>
          <w:rFonts w:ascii="Arial" w:hAnsi="Arial" w:cs="Arial"/>
          <w:sz w:val="22"/>
          <w:szCs w:val="22"/>
        </w:rPr>
        <w:t>por</w:t>
      </w:r>
      <w:r w:rsidRPr="008D13D7">
        <w:rPr>
          <w:rFonts w:ascii="Arial" w:hAnsi="Arial" w:cs="Arial"/>
          <w:sz w:val="22"/>
          <w:szCs w:val="22"/>
        </w:rPr>
        <w:t xml:space="preserve"> </w:t>
      </w:r>
      <w:smartTag w:uri="urn:schemas-microsoft-com:office:smarttags" w:element="PersonName">
        <w:smartTagPr>
          <w:attr w:name="ProductID" w:val="la Ley"/>
        </w:smartTagPr>
        <w:r w:rsidR="00DB085F" w:rsidRPr="008D13D7">
          <w:rPr>
            <w:rFonts w:ascii="Arial" w:hAnsi="Arial" w:cs="Arial"/>
            <w:sz w:val="22"/>
            <w:szCs w:val="22"/>
          </w:rPr>
          <w:t>la L</w:t>
        </w:r>
        <w:r w:rsidRPr="008D13D7">
          <w:rPr>
            <w:rFonts w:ascii="Arial" w:hAnsi="Arial" w:cs="Arial"/>
            <w:sz w:val="22"/>
            <w:szCs w:val="22"/>
          </w:rPr>
          <w:t>ey</w:t>
        </w:r>
      </w:smartTag>
      <w:r w:rsidR="00DB085F" w:rsidRPr="008D13D7">
        <w:rPr>
          <w:rFonts w:ascii="Arial" w:hAnsi="Arial" w:cs="Arial"/>
          <w:sz w:val="22"/>
          <w:szCs w:val="22"/>
        </w:rPr>
        <w:t xml:space="preserve"> 20.469</w:t>
      </w:r>
      <w:r w:rsidRPr="008D13D7">
        <w:rPr>
          <w:rFonts w:ascii="Arial" w:hAnsi="Arial" w:cs="Arial"/>
          <w:sz w:val="22"/>
          <w:szCs w:val="22"/>
        </w:rPr>
        <w:t>.</w:t>
      </w:r>
      <w:r w:rsidR="00DB085F" w:rsidRPr="008D13D7">
        <w:rPr>
          <w:rFonts w:ascii="Arial" w:hAnsi="Arial" w:cs="Arial"/>
          <w:sz w:val="22"/>
          <w:szCs w:val="22"/>
        </w:rPr>
        <w:t xml:space="preserve"> </w:t>
      </w:r>
    </w:p>
    <w:p w:rsidR="00DB085F" w:rsidRPr="00252C1F" w:rsidRDefault="00DB085F" w:rsidP="00DB085F">
      <w:pPr>
        <w:autoSpaceDE w:val="0"/>
        <w:autoSpaceDN w:val="0"/>
        <w:adjustRightInd w:val="0"/>
        <w:ind w:right="-162"/>
        <w:jc w:val="both"/>
        <w:rPr>
          <w:rFonts w:ascii="Arial" w:hAnsi="Arial" w:cs="Arial"/>
          <w:sz w:val="22"/>
          <w:szCs w:val="22"/>
        </w:rPr>
      </w:pPr>
    </w:p>
    <w:p w:rsidR="00DB085F" w:rsidRPr="00252C1F" w:rsidRDefault="00A713D2" w:rsidP="008E499E">
      <w:pPr>
        <w:numPr>
          <w:ilvl w:val="0"/>
          <w:numId w:val="27"/>
        </w:numPr>
        <w:autoSpaceDE w:val="0"/>
        <w:autoSpaceDN w:val="0"/>
        <w:adjustRightInd w:val="0"/>
        <w:ind w:right="-162"/>
        <w:jc w:val="both"/>
        <w:rPr>
          <w:rFonts w:ascii="Arial" w:hAnsi="Arial" w:cs="Arial"/>
          <w:sz w:val="22"/>
          <w:szCs w:val="22"/>
        </w:rPr>
      </w:pPr>
      <w:r w:rsidRPr="00252C1F">
        <w:rPr>
          <w:rFonts w:ascii="Arial" w:hAnsi="Arial" w:cs="Arial"/>
          <w:sz w:val="22"/>
          <w:szCs w:val="22"/>
        </w:rPr>
        <w:t>A partir del año calendario 2018</w:t>
      </w:r>
      <w:r w:rsidR="001A6538" w:rsidRPr="00252C1F">
        <w:rPr>
          <w:rFonts w:ascii="Arial" w:hAnsi="Arial" w:cs="Arial"/>
          <w:sz w:val="22"/>
          <w:szCs w:val="22"/>
        </w:rPr>
        <w:t xml:space="preserve"> (</w:t>
      </w:r>
      <w:r w:rsidRPr="00252C1F">
        <w:rPr>
          <w:rFonts w:ascii="Arial" w:hAnsi="Arial" w:cs="Arial"/>
          <w:sz w:val="22"/>
          <w:szCs w:val="22"/>
        </w:rPr>
        <w:t>inclusive</w:t>
      </w:r>
      <w:r w:rsidR="001A6538" w:rsidRPr="00252C1F">
        <w:rPr>
          <w:rFonts w:ascii="Arial" w:hAnsi="Arial" w:cs="Arial"/>
          <w:sz w:val="22"/>
          <w:szCs w:val="22"/>
        </w:rPr>
        <w:t>)</w:t>
      </w:r>
      <w:r w:rsidRPr="00252C1F">
        <w:rPr>
          <w:rFonts w:ascii="Arial" w:hAnsi="Arial" w:cs="Arial"/>
          <w:sz w:val="22"/>
          <w:szCs w:val="22"/>
        </w:rPr>
        <w:t xml:space="preserve"> y hasta el término del segundo</w:t>
      </w:r>
      <w:r w:rsidR="00DB085F" w:rsidRPr="00252C1F">
        <w:rPr>
          <w:rFonts w:ascii="Arial" w:hAnsi="Arial" w:cs="Arial"/>
          <w:sz w:val="22"/>
          <w:szCs w:val="22"/>
        </w:rPr>
        <w:t xml:space="preserve"> </w:t>
      </w:r>
      <w:r w:rsidRPr="00252C1F">
        <w:rPr>
          <w:rFonts w:ascii="Arial" w:hAnsi="Arial" w:cs="Arial"/>
          <w:sz w:val="22"/>
          <w:szCs w:val="22"/>
        </w:rPr>
        <w:t>y último período de régimen de invariabilidad establecido para estas empresas en los</w:t>
      </w:r>
      <w:r w:rsidR="00DB085F" w:rsidRPr="00252C1F">
        <w:rPr>
          <w:rFonts w:ascii="Arial" w:hAnsi="Arial" w:cs="Arial"/>
          <w:sz w:val="22"/>
          <w:szCs w:val="22"/>
        </w:rPr>
        <w:t xml:space="preserve"> </w:t>
      </w:r>
      <w:r w:rsidRPr="00252C1F">
        <w:rPr>
          <w:rFonts w:ascii="Arial" w:hAnsi="Arial" w:cs="Arial"/>
          <w:sz w:val="22"/>
          <w:szCs w:val="22"/>
        </w:rPr>
        <w:t>contratos señalados</w:t>
      </w:r>
      <w:r w:rsidR="00D725BC" w:rsidRPr="00252C1F">
        <w:rPr>
          <w:rFonts w:ascii="Arial" w:hAnsi="Arial" w:cs="Arial"/>
          <w:sz w:val="22"/>
          <w:szCs w:val="22"/>
        </w:rPr>
        <w:t>, lo que de acuerdo a la Ley</w:t>
      </w:r>
      <w:r w:rsidRPr="00252C1F">
        <w:rPr>
          <w:rFonts w:ascii="Arial" w:hAnsi="Arial" w:cs="Arial"/>
          <w:sz w:val="22"/>
          <w:szCs w:val="22"/>
        </w:rPr>
        <w:t xml:space="preserve"> ocurrirá el 31 de diciembre de 2025, se</w:t>
      </w:r>
      <w:r w:rsidR="00DB085F" w:rsidRPr="00252C1F">
        <w:rPr>
          <w:rFonts w:ascii="Arial" w:hAnsi="Arial" w:cs="Arial"/>
          <w:sz w:val="22"/>
          <w:szCs w:val="22"/>
        </w:rPr>
        <w:t xml:space="preserve"> </w:t>
      </w:r>
      <w:r w:rsidRPr="00252C1F">
        <w:rPr>
          <w:rFonts w:ascii="Arial" w:hAnsi="Arial" w:cs="Arial"/>
          <w:sz w:val="22"/>
          <w:szCs w:val="22"/>
        </w:rPr>
        <w:t xml:space="preserve">aplicará el régimen tributario contemplado en los artículos 64 bis y 64 ter de la LIR según </w:t>
      </w:r>
      <w:r w:rsidR="00D725BC" w:rsidRPr="00252C1F">
        <w:rPr>
          <w:rFonts w:ascii="Arial" w:hAnsi="Arial" w:cs="Arial"/>
          <w:sz w:val="22"/>
          <w:szCs w:val="22"/>
        </w:rPr>
        <w:t>sus textos</w:t>
      </w:r>
      <w:r w:rsidRPr="00252C1F">
        <w:rPr>
          <w:rFonts w:ascii="Arial" w:hAnsi="Arial" w:cs="Arial"/>
          <w:sz w:val="22"/>
          <w:szCs w:val="22"/>
        </w:rPr>
        <w:t xml:space="preserve"> establecidos </w:t>
      </w:r>
      <w:r w:rsidR="00D725BC" w:rsidRPr="00252C1F">
        <w:rPr>
          <w:rFonts w:ascii="Arial" w:hAnsi="Arial" w:cs="Arial"/>
          <w:sz w:val="22"/>
          <w:szCs w:val="22"/>
        </w:rPr>
        <w:t>por</w:t>
      </w:r>
      <w:r w:rsidRPr="00252C1F">
        <w:rPr>
          <w:rFonts w:ascii="Arial" w:hAnsi="Arial" w:cs="Arial"/>
          <w:sz w:val="22"/>
          <w:szCs w:val="22"/>
        </w:rPr>
        <w:t xml:space="preserve"> </w:t>
      </w:r>
      <w:smartTag w:uri="urn:schemas-microsoft-com:office:smarttags" w:element="PersonName">
        <w:smartTagPr>
          <w:attr w:name="ProductID" w:val="la Ley"/>
        </w:smartTagPr>
        <w:r w:rsidR="00DB085F" w:rsidRPr="00252C1F">
          <w:rPr>
            <w:rFonts w:ascii="Arial" w:hAnsi="Arial" w:cs="Arial"/>
            <w:sz w:val="22"/>
            <w:szCs w:val="22"/>
          </w:rPr>
          <w:t>la Ley</w:t>
        </w:r>
      </w:smartTag>
      <w:r w:rsidR="00DB085F" w:rsidRPr="00252C1F">
        <w:rPr>
          <w:rFonts w:ascii="Arial" w:hAnsi="Arial" w:cs="Arial"/>
          <w:sz w:val="22"/>
          <w:szCs w:val="22"/>
        </w:rPr>
        <w:t xml:space="preserve"> 20.469</w:t>
      </w:r>
      <w:r w:rsidR="00E821D0">
        <w:rPr>
          <w:rFonts w:ascii="Arial" w:hAnsi="Arial" w:cs="Arial"/>
          <w:sz w:val="22"/>
          <w:szCs w:val="22"/>
        </w:rPr>
        <w:t>;</w:t>
      </w:r>
    </w:p>
    <w:p w:rsidR="00DB085F" w:rsidRPr="00252C1F" w:rsidRDefault="00DB085F" w:rsidP="00DB085F">
      <w:pPr>
        <w:autoSpaceDE w:val="0"/>
        <w:autoSpaceDN w:val="0"/>
        <w:adjustRightInd w:val="0"/>
        <w:ind w:right="-162"/>
        <w:jc w:val="both"/>
        <w:rPr>
          <w:rFonts w:ascii="Arial" w:hAnsi="Arial" w:cs="Arial"/>
          <w:sz w:val="22"/>
          <w:szCs w:val="22"/>
        </w:rPr>
      </w:pPr>
    </w:p>
    <w:p w:rsidR="00A713D2" w:rsidRPr="00252C1F" w:rsidRDefault="00A713D2" w:rsidP="00E821D0">
      <w:pPr>
        <w:numPr>
          <w:ilvl w:val="0"/>
          <w:numId w:val="27"/>
        </w:numPr>
        <w:autoSpaceDE w:val="0"/>
        <w:autoSpaceDN w:val="0"/>
        <w:adjustRightInd w:val="0"/>
        <w:ind w:right="-162"/>
        <w:jc w:val="both"/>
        <w:rPr>
          <w:rFonts w:ascii="Arial" w:hAnsi="Arial" w:cs="Arial"/>
          <w:sz w:val="22"/>
          <w:szCs w:val="22"/>
        </w:rPr>
      </w:pPr>
      <w:r w:rsidRPr="00252C1F">
        <w:rPr>
          <w:rFonts w:ascii="Arial" w:hAnsi="Arial" w:cs="Arial"/>
          <w:sz w:val="22"/>
          <w:szCs w:val="22"/>
        </w:rPr>
        <w:t>A partir del año calendario 2026, estas empresas quedarán sometidas al régimen</w:t>
      </w:r>
      <w:r w:rsidR="00DB085F" w:rsidRPr="00252C1F">
        <w:rPr>
          <w:rFonts w:ascii="Arial" w:hAnsi="Arial" w:cs="Arial"/>
          <w:sz w:val="22"/>
          <w:szCs w:val="22"/>
        </w:rPr>
        <w:t xml:space="preserve"> </w:t>
      </w:r>
      <w:r w:rsidRPr="00252C1F">
        <w:rPr>
          <w:rFonts w:ascii="Arial" w:hAnsi="Arial" w:cs="Arial"/>
          <w:sz w:val="22"/>
          <w:szCs w:val="22"/>
        </w:rPr>
        <w:t>general de tri</w:t>
      </w:r>
      <w:r w:rsidR="00E821D0">
        <w:rPr>
          <w:rFonts w:ascii="Arial" w:hAnsi="Arial" w:cs="Arial"/>
          <w:sz w:val="22"/>
          <w:szCs w:val="22"/>
        </w:rPr>
        <w:t>butación vigente en tal momento;</w:t>
      </w:r>
    </w:p>
    <w:p w:rsidR="00FF652B" w:rsidRPr="00252C1F" w:rsidRDefault="00FF652B" w:rsidP="00DB085F">
      <w:pPr>
        <w:autoSpaceDE w:val="0"/>
        <w:autoSpaceDN w:val="0"/>
        <w:adjustRightInd w:val="0"/>
        <w:ind w:right="-162"/>
        <w:jc w:val="both"/>
        <w:rPr>
          <w:rFonts w:ascii="Arial" w:hAnsi="Arial" w:cs="Arial"/>
          <w:sz w:val="22"/>
          <w:szCs w:val="22"/>
        </w:rPr>
      </w:pPr>
    </w:p>
    <w:p w:rsidR="005753E2" w:rsidRPr="00252C1F" w:rsidRDefault="00A713D2" w:rsidP="00E821D0">
      <w:pPr>
        <w:numPr>
          <w:ilvl w:val="0"/>
          <w:numId w:val="27"/>
        </w:numPr>
        <w:autoSpaceDE w:val="0"/>
        <w:autoSpaceDN w:val="0"/>
        <w:adjustRightInd w:val="0"/>
        <w:ind w:right="-162"/>
        <w:jc w:val="both"/>
        <w:rPr>
          <w:rFonts w:ascii="Arial" w:hAnsi="Arial" w:cs="Arial"/>
          <w:sz w:val="22"/>
          <w:szCs w:val="22"/>
        </w:rPr>
      </w:pPr>
      <w:r w:rsidRPr="00252C1F">
        <w:rPr>
          <w:rFonts w:ascii="Arial" w:hAnsi="Arial" w:cs="Arial"/>
          <w:sz w:val="22"/>
          <w:szCs w:val="22"/>
        </w:rPr>
        <w:t xml:space="preserve">Lo expuesto en este </w:t>
      </w:r>
      <w:r w:rsidR="00D725BC" w:rsidRPr="00252C1F">
        <w:rPr>
          <w:rFonts w:ascii="Arial" w:hAnsi="Arial" w:cs="Arial"/>
          <w:sz w:val="22"/>
          <w:szCs w:val="22"/>
        </w:rPr>
        <w:t>número</w:t>
      </w:r>
      <w:r w:rsidR="00803382" w:rsidRPr="00252C1F">
        <w:rPr>
          <w:rFonts w:ascii="Arial" w:hAnsi="Arial" w:cs="Arial"/>
          <w:sz w:val="22"/>
          <w:szCs w:val="22"/>
        </w:rPr>
        <w:t xml:space="preserve"> </w:t>
      </w:r>
      <w:r w:rsidRPr="00252C1F">
        <w:rPr>
          <w:rFonts w:ascii="Arial" w:hAnsi="Arial" w:cs="Arial"/>
          <w:sz w:val="22"/>
          <w:szCs w:val="22"/>
        </w:rPr>
        <w:t>se aplicará en favor de las empresas indicadas que</w:t>
      </w:r>
      <w:r w:rsidR="00803382" w:rsidRPr="00252C1F">
        <w:rPr>
          <w:rFonts w:ascii="Arial" w:hAnsi="Arial" w:cs="Arial"/>
          <w:sz w:val="22"/>
          <w:szCs w:val="22"/>
        </w:rPr>
        <w:t xml:space="preserve"> </w:t>
      </w:r>
      <w:r w:rsidRPr="00252C1F">
        <w:rPr>
          <w:rFonts w:ascii="Arial" w:hAnsi="Arial" w:cs="Arial"/>
          <w:sz w:val="22"/>
          <w:szCs w:val="22"/>
        </w:rPr>
        <w:t>hayan iniciado la explotación de un proyecto minero con anterioridad a la fecha de</w:t>
      </w:r>
      <w:r w:rsidR="00803382" w:rsidRPr="00252C1F">
        <w:rPr>
          <w:rFonts w:ascii="Arial" w:hAnsi="Arial" w:cs="Arial"/>
          <w:sz w:val="22"/>
          <w:szCs w:val="22"/>
        </w:rPr>
        <w:t xml:space="preserve"> </w:t>
      </w:r>
      <w:r w:rsidRPr="00252C1F">
        <w:rPr>
          <w:rFonts w:ascii="Arial" w:hAnsi="Arial" w:cs="Arial"/>
          <w:sz w:val="22"/>
          <w:szCs w:val="22"/>
        </w:rPr>
        <w:t xml:space="preserve">entrada en vigencia de </w:t>
      </w:r>
      <w:smartTag w:uri="urn:schemas-microsoft-com:office:smarttags" w:element="PersonName">
        <w:smartTagPr>
          <w:attr w:name="ProductID" w:val="la Ley"/>
        </w:smartTagPr>
        <w:r w:rsidR="00803382" w:rsidRPr="00252C1F">
          <w:rPr>
            <w:rFonts w:ascii="Arial" w:hAnsi="Arial" w:cs="Arial"/>
            <w:sz w:val="22"/>
            <w:szCs w:val="22"/>
          </w:rPr>
          <w:t>la</w:t>
        </w:r>
        <w:r w:rsidRPr="00252C1F">
          <w:rPr>
            <w:rFonts w:ascii="Arial" w:hAnsi="Arial" w:cs="Arial"/>
            <w:sz w:val="22"/>
            <w:szCs w:val="22"/>
          </w:rPr>
          <w:t xml:space="preserve"> </w:t>
        </w:r>
        <w:r w:rsidR="00803382" w:rsidRPr="00252C1F">
          <w:rPr>
            <w:rFonts w:ascii="Arial" w:hAnsi="Arial" w:cs="Arial"/>
            <w:sz w:val="22"/>
            <w:szCs w:val="22"/>
          </w:rPr>
          <w:t>L</w:t>
        </w:r>
        <w:r w:rsidRPr="00252C1F">
          <w:rPr>
            <w:rFonts w:ascii="Arial" w:hAnsi="Arial" w:cs="Arial"/>
            <w:sz w:val="22"/>
            <w:szCs w:val="22"/>
          </w:rPr>
          <w:t>ey</w:t>
        </w:r>
      </w:smartTag>
      <w:r w:rsidRPr="00252C1F">
        <w:rPr>
          <w:rFonts w:ascii="Arial" w:hAnsi="Arial" w:cs="Arial"/>
          <w:sz w:val="22"/>
          <w:szCs w:val="22"/>
        </w:rPr>
        <w:t xml:space="preserve"> </w:t>
      </w:r>
      <w:r w:rsidR="00803382" w:rsidRPr="00252C1F">
        <w:rPr>
          <w:rFonts w:ascii="Arial" w:hAnsi="Arial" w:cs="Arial"/>
          <w:sz w:val="22"/>
          <w:szCs w:val="22"/>
        </w:rPr>
        <w:t xml:space="preserve">20.469 </w:t>
      </w:r>
      <w:r w:rsidRPr="00252C1F">
        <w:rPr>
          <w:rFonts w:ascii="Arial" w:hAnsi="Arial" w:cs="Arial"/>
          <w:sz w:val="22"/>
          <w:szCs w:val="22"/>
        </w:rPr>
        <w:t>y que no hayan suscrito a dicha fecha y respecto de tal</w:t>
      </w:r>
      <w:r w:rsidR="00803382" w:rsidRPr="00252C1F">
        <w:rPr>
          <w:rFonts w:ascii="Arial" w:hAnsi="Arial" w:cs="Arial"/>
          <w:sz w:val="22"/>
          <w:szCs w:val="22"/>
        </w:rPr>
        <w:t xml:space="preserve"> </w:t>
      </w:r>
      <w:r w:rsidRPr="00252C1F">
        <w:rPr>
          <w:rFonts w:ascii="Arial" w:hAnsi="Arial" w:cs="Arial"/>
          <w:sz w:val="22"/>
          <w:szCs w:val="22"/>
        </w:rPr>
        <w:t>proyecto, un contrato de inversión con el Estado de Chile que contemple un régimen de</w:t>
      </w:r>
      <w:r w:rsidR="00803382" w:rsidRPr="00252C1F">
        <w:rPr>
          <w:rFonts w:ascii="Arial" w:hAnsi="Arial" w:cs="Arial"/>
          <w:sz w:val="22"/>
          <w:szCs w:val="22"/>
        </w:rPr>
        <w:t xml:space="preserve"> </w:t>
      </w:r>
      <w:r w:rsidRPr="00252C1F">
        <w:rPr>
          <w:rFonts w:ascii="Arial" w:hAnsi="Arial" w:cs="Arial"/>
          <w:sz w:val="22"/>
          <w:szCs w:val="22"/>
        </w:rPr>
        <w:t>invariabilidad para dicho proyecto.</w:t>
      </w:r>
    </w:p>
    <w:p w:rsidR="00691DF8" w:rsidRDefault="00691DF8" w:rsidP="00DB085F">
      <w:pPr>
        <w:autoSpaceDE w:val="0"/>
        <w:autoSpaceDN w:val="0"/>
        <w:adjustRightInd w:val="0"/>
        <w:ind w:right="-162"/>
        <w:jc w:val="both"/>
        <w:rPr>
          <w:rFonts w:ascii="Arial" w:hAnsi="Arial" w:cs="Arial"/>
          <w:sz w:val="22"/>
          <w:szCs w:val="22"/>
        </w:rPr>
      </w:pPr>
    </w:p>
    <w:p w:rsidR="004403DF" w:rsidRPr="00252C1F" w:rsidRDefault="004403DF" w:rsidP="00DB085F">
      <w:pPr>
        <w:autoSpaceDE w:val="0"/>
        <w:autoSpaceDN w:val="0"/>
        <w:adjustRightInd w:val="0"/>
        <w:ind w:right="-162"/>
        <w:jc w:val="both"/>
        <w:rPr>
          <w:rFonts w:ascii="Arial" w:hAnsi="Arial" w:cs="Arial"/>
          <w:sz w:val="22"/>
          <w:szCs w:val="22"/>
        </w:rPr>
      </w:pPr>
    </w:p>
    <w:p w:rsidR="00691DF8" w:rsidRPr="00E821D0" w:rsidRDefault="00691DF8" w:rsidP="00DB085F">
      <w:pPr>
        <w:autoSpaceDE w:val="0"/>
        <w:autoSpaceDN w:val="0"/>
        <w:adjustRightInd w:val="0"/>
        <w:ind w:right="-162"/>
        <w:jc w:val="both"/>
        <w:rPr>
          <w:rFonts w:ascii="Arial" w:hAnsi="Arial" w:cs="Arial"/>
          <w:b/>
          <w:sz w:val="22"/>
          <w:szCs w:val="22"/>
        </w:rPr>
      </w:pPr>
      <w:r w:rsidRPr="00E821D0">
        <w:rPr>
          <w:rFonts w:ascii="Arial" w:hAnsi="Arial" w:cs="Arial"/>
          <w:b/>
          <w:sz w:val="22"/>
          <w:szCs w:val="22"/>
        </w:rPr>
        <w:t>(7) Forma de computar los plazos.</w:t>
      </w:r>
    </w:p>
    <w:p w:rsidR="00691DF8" w:rsidRPr="00E821D0" w:rsidRDefault="00691DF8" w:rsidP="00DB085F">
      <w:pPr>
        <w:autoSpaceDE w:val="0"/>
        <w:autoSpaceDN w:val="0"/>
        <w:adjustRightInd w:val="0"/>
        <w:ind w:right="-162"/>
        <w:jc w:val="both"/>
        <w:rPr>
          <w:rFonts w:ascii="Arial" w:hAnsi="Arial" w:cs="Arial"/>
          <w:b/>
          <w:sz w:val="22"/>
          <w:szCs w:val="22"/>
        </w:rPr>
      </w:pPr>
    </w:p>
    <w:p w:rsidR="00950F92" w:rsidRPr="00252C1F" w:rsidRDefault="006052E3" w:rsidP="009114B9">
      <w:pPr>
        <w:autoSpaceDE w:val="0"/>
        <w:autoSpaceDN w:val="0"/>
        <w:adjustRightInd w:val="0"/>
        <w:ind w:right="-162"/>
        <w:jc w:val="both"/>
        <w:rPr>
          <w:rFonts w:ascii="Arial" w:hAnsi="Arial" w:cs="Arial"/>
          <w:sz w:val="22"/>
          <w:szCs w:val="22"/>
        </w:rPr>
      </w:pPr>
      <w:r w:rsidRPr="00252C1F">
        <w:rPr>
          <w:rFonts w:ascii="Arial" w:hAnsi="Arial" w:cs="Arial"/>
          <w:sz w:val="22"/>
          <w:szCs w:val="22"/>
        </w:rPr>
        <w:t xml:space="preserve">Los plazos de </w:t>
      </w:r>
      <w:r w:rsidR="00E821D0" w:rsidRPr="00716655">
        <w:rPr>
          <w:rFonts w:ascii="Arial" w:hAnsi="Arial" w:cs="Arial"/>
          <w:b/>
          <w:sz w:val="22"/>
          <w:szCs w:val="22"/>
        </w:rPr>
        <w:t>AC</w:t>
      </w:r>
      <w:r w:rsidR="00E86A98" w:rsidRPr="00252C1F">
        <w:rPr>
          <w:rFonts w:ascii="Arial" w:hAnsi="Arial" w:cs="Arial"/>
          <w:sz w:val="22"/>
          <w:szCs w:val="22"/>
        </w:rPr>
        <w:t xml:space="preserve"> </w:t>
      </w:r>
      <w:r w:rsidRPr="00252C1F">
        <w:rPr>
          <w:rFonts w:ascii="Arial" w:hAnsi="Arial" w:cs="Arial"/>
          <w:sz w:val="22"/>
          <w:szCs w:val="22"/>
        </w:rPr>
        <w:t>que contemplan las disposiciones transitorias de la Ley 20.469</w:t>
      </w:r>
      <w:r w:rsidR="00E86A98" w:rsidRPr="00252C1F">
        <w:rPr>
          <w:rFonts w:ascii="Arial" w:hAnsi="Arial" w:cs="Arial"/>
          <w:sz w:val="22"/>
          <w:szCs w:val="22"/>
        </w:rPr>
        <w:t>, se deberán c</w:t>
      </w:r>
      <w:r w:rsidR="009039C1" w:rsidRPr="00252C1F">
        <w:rPr>
          <w:rFonts w:ascii="Arial" w:hAnsi="Arial" w:cs="Arial"/>
          <w:sz w:val="22"/>
          <w:szCs w:val="22"/>
        </w:rPr>
        <w:t>omputar</w:t>
      </w:r>
      <w:r w:rsidR="00E86A98" w:rsidRPr="00252C1F">
        <w:rPr>
          <w:rFonts w:ascii="Arial" w:hAnsi="Arial" w:cs="Arial"/>
          <w:sz w:val="22"/>
          <w:szCs w:val="22"/>
        </w:rPr>
        <w:t xml:space="preserve"> conforme a las definiciones que al respecto </w:t>
      </w:r>
      <w:r w:rsidR="00E821D0">
        <w:rPr>
          <w:rFonts w:ascii="Arial" w:hAnsi="Arial" w:cs="Arial"/>
          <w:sz w:val="22"/>
          <w:szCs w:val="22"/>
        </w:rPr>
        <w:t>establecen</w:t>
      </w:r>
      <w:r w:rsidR="00E86A98" w:rsidRPr="00252C1F">
        <w:rPr>
          <w:rFonts w:ascii="Arial" w:hAnsi="Arial" w:cs="Arial"/>
          <w:sz w:val="22"/>
          <w:szCs w:val="22"/>
        </w:rPr>
        <w:t xml:space="preserve"> los N</w:t>
      </w:r>
      <w:r w:rsidR="00E821D0">
        <w:rPr>
          <w:rFonts w:ascii="Arial" w:hAnsi="Arial" w:cs="Arial"/>
          <w:sz w:val="22"/>
          <w:szCs w:val="22"/>
        </w:rPr>
        <w:t>°</w:t>
      </w:r>
      <w:r w:rsidR="00E86A98" w:rsidRPr="00252C1F">
        <w:rPr>
          <w:rFonts w:ascii="Arial" w:hAnsi="Arial" w:cs="Arial"/>
          <w:sz w:val="22"/>
          <w:szCs w:val="22"/>
        </w:rPr>
        <w:t>s. 7 y 8 del artículo 2</w:t>
      </w:r>
      <w:r w:rsidR="009039C1" w:rsidRPr="00252C1F">
        <w:rPr>
          <w:rFonts w:ascii="Arial" w:hAnsi="Arial" w:cs="Arial"/>
          <w:sz w:val="22"/>
          <w:szCs w:val="22"/>
        </w:rPr>
        <w:t>,</w:t>
      </w:r>
      <w:r w:rsidR="00E821D0">
        <w:rPr>
          <w:rFonts w:ascii="Arial" w:hAnsi="Arial" w:cs="Arial"/>
          <w:sz w:val="22"/>
          <w:szCs w:val="22"/>
        </w:rPr>
        <w:t xml:space="preserve"> de la LIR.</w:t>
      </w:r>
    </w:p>
    <w:p w:rsidR="009114B9" w:rsidRPr="00252C1F" w:rsidRDefault="009114B9" w:rsidP="009114B9">
      <w:pPr>
        <w:autoSpaceDE w:val="0"/>
        <w:autoSpaceDN w:val="0"/>
        <w:adjustRightInd w:val="0"/>
        <w:ind w:right="-162"/>
        <w:jc w:val="both"/>
        <w:rPr>
          <w:rFonts w:ascii="Arial" w:eastAsia="Calibri" w:hAnsi="Arial" w:cs="Arial"/>
          <w:sz w:val="22"/>
          <w:szCs w:val="22"/>
          <w:lang w:val="es-CL" w:eastAsia="es-CL"/>
        </w:rPr>
      </w:pPr>
    </w:p>
    <w:p w:rsidR="004403DF" w:rsidRDefault="004403DF" w:rsidP="000462C8">
      <w:pPr>
        <w:autoSpaceDE w:val="0"/>
        <w:autoSpaceDN w:val="0"/>
        <w:adjustRightInd w:val="0"/>
        <w:ind w:left="1080" w:right="-93" w:hanging="1080"/>
        <w:jc w:val="both"/>
        <w:rPr>
          <w:rFonts w:ascii="Arial" w:hAnsi="Arial" w:cs="Arial"/>
          <w:b/>
          <w:sz w:val="22"/>
          <w:szCs w:val="22"/>
        </w:rPr>
      </w:pPr>
    </w:p>
    <w:p w:rsidR="00811D72" w:rsidRPr="00E821D0" w:rsidRDefault="000462C8" w:rsidP="000462C8">
      <w:pPr>
        <w:autoSpaceDE w:val="0"/>
        <w:autoSpaceDN w:val="0"/>
        <w:adjustRightInd w:val="0"/>
        <w:ind w:left="1080" w:right="-93" w:hanging="1080"/>
        <w:jc w:val="both"/>
        <w:rPr>
          <w:rFonts w:ascii="Arial" w:hAnsi="Arial" w:cs="Arial"/>
          <w:b/>
          <w:sz w:val="22"/>
          <w:szCs w:val="22"/>
        </w:rPr>
      </w:pPr>
      <w:r w:rsidRPr="00E821D0">
        <w:rPr>
          <w:rFonts w:ascii="Arial" w:hAnsi="Arial" w:cs="Arial"/>
          <w:b/>
          <w:sz w:val="22"/>
          <w:szCs w:val="22"/>
        </w:rPr>
        <w:t>I</w:t>
      </w:r>
      <w:r w:rsidR="008D13D7">
        <w:rPr>
          <w:rFonts w:ascii="Arial" w:hAnsi="Arial" w:cs="Arial"/>
          <w:b/>
          <w:sz w:val="22"/>
          <w:szCs w:val="22"/>
        </w:rPr>
        <w:t>V</w:t>
      </w:r>
      <w:r w:rsidR="003420BA" w:rsidRPr="00E821D0">
        <w:rPr>
          <w:rFonts w:ascii="Arial" w:hAnsi="Arial" w:cs="Arial"/>
          <w:b/>
          <w:sz w:val="22"/>
          <w:szCs w:val="22"/>
        </w:rPr>
        <w:t>.-</w:t>
      </w:r>
      <w:r w:rsidR="005A10BE" w:rsidRPr="00E821D0">
        <w:rPr>
          <w:rFonts w:ascii="Arial" w:hAnsi="Arial" w:cs="Arial"/>
          <w:b/>
          <w:sz w:val="22"/>
          <w:szCs w:val="22"/>
        </w:rPr>
        <w:t xml:space="preserve">  </w:t>
      </w:r>
      <w:r w:rsidR="003420BA" w:rsidRPr="00E821D0">
        <w:rPr>
          <w:rFonts w:ascii="Arial" w:hAnsi="Arial" w:cs="Arial"/>
          <w:b/>
          <w:sz w:val="22"/>
          <w:szCs w:val="22"/>
        </w:rPr>
        <w:t>Vigencia</w:t>
      </w:r>
      <w:r w:rsidR="009039C1" w:rsidRPr="00E821D0">
        <w:rPr>
          <w:rFonts w:ascii="Arial" w:hAnsi="Arial" w:cs="Arial"/>
          <w:b/>
          <w:sz w:val="22"/>
          <w:szCs w:val="22"/>
        </w:rPr>
        <w:t>.</w:t>
      </w:r>
      <w:r w:rsidR="00811D72" w:rsidRPr="00E821D0">
        <w:rPr>
          <w:rFonts w:ascii="Arial" w:hAnsi="Arial" w:cs="Arial"/>
          <w:b/>
          <w:sz w:val="22"/>
          <w:szCs w:val="22"/>
        </w:rPr>
        <w:t xml:space="preserve"> </w:t>
      </w:r>
    </w:p>
    <w:p w:rsidR="00811D72" w:rsidRDefault="00811D72" w:rsidP="0080036C">
      <w:pPr>
        <w:autoSpaceDE w:val="0"/>
        <w:autoSpaceDN w:val="0"/>
        <w:adjustRightInd w:val="0"/>
        <w:ind w:left="1080" w:right="-93" w:hanging="540"/>
        <w:jc w:val="both"/>
        <w:rPr>
          <w:rFonts w:ascii="Arial" w:hAnsi="Arial" w:cs="Arial"/>
          <w:b/>
          <w:sz w:val="22"/>
          <w:szCs w:val="22"/>
        </w:rPr>
      </w:pPr>
    </w:p>
    <w:p w:rsidR="004403DF" w:rsidRPr="00E821D0" w:rsidRDefault="004403DF" w:rsidP="0080036C">
      <w:pPr>
        <w:autoSpaceDE w:val="0"/>
        <w:autoSpaceDN w:val="0"/>
        <w:adjustRightInd w:val="0"/>
        <w:ind w:left="1080" w:right="-93" w:hanging="540"/>
        <w:jc w:val="both"/>
        <w:rPr>
          <w:rFonts w:ascii="Arial" w:hAnsi="Arial" w:cs="Arial"/>
          <w:b/>
          <w:sz w:val="22"/>
          <w:szCs w:val="22"/>
        </w:rPr>
      </w:pPr>
    </w:p>
    <w:p w:rsidR="00803382" w:rsidRPr="00E821D0" w:rsidRDefault="000462C8" w:rsidP="00E821D0">
      <w:pPr>
        <w:autoSpaceDE w:val="0"/>
        <w:autoSpaceDN w:val="0"/>
        <w:adjustRightInd w:val="0"/>
        <w:ind w:right="-93"/>
        <w:jc w:val="both"/>
        <w:rPr>
          <w:rFonts w:ascii="Arial" w:hAnsi="Arial" w:cs="Arial"/>
          <w:b/>
          <w:sz w:val="22"/>
          <w:szCs w:val="22"/>
        </w:rPr>
      </w:pPr>
      <w:r w:rsidRPr="00E821D0">
        <w:rPr>
          <w:rFonts w:ascii="Arial" w:hAnsi="Arial" w:cs="Arial"/>
          <w:b/>
          <w:sz w:val="22"/>
          <w:szCs w:val="22"/>
        </w:rPr>
        <w:t>(1</w:t>
      </w:r>
      <w:r w:rsidR="00811D72" w:rsidRPr="00E821D0">
        <w:rPr>
          <w:rFonts w:ascii="Arial" w:hAnsi="Arial" w:cs="Arial"/>
          <w:b/>
          <w:sz w:val="22"/>
          <w:szCs w:val="22"/>
        </w:rPr>
        <w:t xml:space="preserve">) </w:t>
      </w:r>
      <w:r w:rsidR="008676C8">
        <w:rPr>
          <w:rFonts w:ascii="Arial" w:hAnsi="Arial" w:cs="Arial"/>
          <w:b/>
          <w:sz w:val="22"/>
          <w:szCs w:val="22"/>
        </w:rPr>
        <w:t>A</w:t>
      </w:r>
      <w:r w:rsidR="0080036C" w:rsidRPr="00E821D0">
        <w:rPr>
          <w:rFonts w:ascii="Arial" w:hAnsi="Arial" w:cs="Arial"/>
          <w:b/>
          <w:sz w:val="22"/>
          <w:szCs w:val="22"/>
        </w:rPr>
        <w:t>rtículo</w:t>
      </w:r>
      <w:r w:rsidR="009039C1" w:rsidRPr="00E821D0">
        <w:rPr>
          <w:rFonts w:ascii="Arial" w:hAnsi="Arial" w:cs="Arial"/>
          <w:b/>
          <w:sz w:val="22"/>
          <w:szCs w:val="22"/>
        </w:rPr>
        <w:t>s</w:t>
      </w:r>
      <w:r w:rsidR="0080036C" w:rsidRPr="00E821D0">
        <w:rPr>
          <w:rFonts w:ascii="Arial" w:hAnsi="Arial" w:cs="Arial"/>
          <w:b/>
          <w:sz w:val="22"/>
          <w:szCs w:val="22"/>
        </w:rPr>
        <w:t xml:space="preserve"> 64 bis</w:t>
      </w:r>
      <w:r w:rsidR="005A10BE" w:rsidRPr="00E821D0">
        <w:rPr>
          <w:rFonts w:ascii="Arial" w:hAnsi="Arial" w:cs="Arial"/>
          <w:b/>
          <w:sz w:val="22"/>
          <w:szCs w:val="22"/>
        </w:rPr>
        <w:t xml:space="preserve"> y 64 ter, de la LIR</w:t>
      </w:r>
      <w:r w:rsidR="003420BA" w:rsidRPr="00E821D0">
        <w:rPr>
          <w:rFonts w:ascii="Arial" w:hAnsi="Arial" w:cs="Arial"/>
          <w:b/>
          <w:sz w:val="22"/>
          <w:szCs w:val="22"/>
        </w:rPr>
        <w:t>.</w:t>
      </w:r>
    </w:p>
    <w:p w:rsidR="003420BA" w:rsidRPr="00252C1F" w:rsidRDefault="003420BA" w:rsidP="00DA5093">
      <w:pPr>
        <w:autoSpaceDE w:val="0"/>
        <w:autoSpaceDN w:val="0"/>
        <w:adjustRightInd w:val="0"/>
        <w:ind w:left="1080" w:right="-93" w:hanging="540"/>
        <w:jc w:val="both"/>
        <w:rPr>
          <w:rFonts w:ascii="Arial" w:hAnsi="Arial" w:cs="Arial"/>
          <w:b/>
          <w:sz w:val="22"/>
          <w:szCs w:val="22"/>
        </w:rPr>
      </w:pPr>
    </w:p>
    <w:p w:rsidR="003420BA" w:rsidRPr="00252C1F" w:rsidRDefault="008676C8" w:rsidP="00C22DD9">
      <w:pPr>
        <w:numPr>
          <w:ilvl w:val="0"/>
          <w:numId w:val="38"/>
        </w:numPr>
        <w:autoSpaceDE w:val="0"/>
        <w:autoSpaceDN w:val="0"/>
        <w:adjustRightInd w:val="0"/>
        <w:ind w:left="0" w:right="-162" w:firstLine="0"/>
        <w:jc w:val="both"/>
        <w:rPr>
          <w:rFonts w:ascii="Arial" w:hAnsi="Arial" w:cs="Arial"/>
          <w:sz w:val="22"/>
          <w:szCs w:val="22"/>
        </w:rPr>
      </w:pPr>
      <w:r>
        <w:rPr>
          <w:rFonts w:ascii="Arial" w:hAnsi="Arial" w:cs="Arial"/>
          <w:sz w:val="22"/>
          <w:szCs w:val="22"/>
        </w:rPr>
        <w:t xml:space="preserve">El </w:t>
      </w:r>
      <w:r w:rsidR="00D1110D" w:rsidRPr="00252C1F">
        <w:rPr>
          <w:rFonts w:ascii="Arial" w:hAnsi="Arial" w:cs="Arial"/>
          <w:sz w:val="22"/>
          <w:szCs w:val="22"/>
        </w:rPr>
        <w:t>artículo 64 bis</w:t>
      </w:r>
      <w:r>
        <w:rPr>
          <w:rFonts w:ascii="Arial" w:hAnsi="Arial" w:cs="Arial"/>
          <w:sz w:val="22"/>
          <w:szCs w:val="22"/>
        </w:rPr>
        <w:t xml:space="preserve"> que sustituye al anterior (del mismo número)</w:t>
      </w:r>
      <w:r w:rsidR="00EA1F62" w:rsidRPr="00252C1F">
        <w:rPr>
          <w:rFonts w:ascii="Arial" w:hAnsi="Arial" w:cs="Arial"/>
          <w:sz w:val="22"/>
          <w:szCs w:val="22"/>
        </w:rPr>
        <w:t xml:space="preserve">, </w:t>
      </w:r>
      <w:r w:rsidR="0080036C" w:rsidRPr="00252C1F">
        <w:rPr>
          <w:rFonts w:ascii="Arial" w:hAnsi="Arial" w:cs="Arial"/>
          <w:sz w:val="22"/>
          <w:szCs w:val="22"/>
        </w:rPr>
        <w:t xml:space="preserve">así como </w:t>
      </w:r>
      <w:r w:rsidR="00E40A15" w:rsidRPr="00252C1F">
        <w:rPr>
          <w:rFonts w:ascii="Arial" w:hAnsi="Arial" w:cs="Arial"/>
          <w:sz w:val="22"/>
          <w:szCs w:val="22"/>
        </w:rPr>
        <w:t>e</w:t>
      </w:r>
      <w:r w:rsidR="00D1110D" w:rsidRPr="00252C1F">
        <w:rPr>
          <w:rFonts w:ascii="Arial" w:hAnsi="Arial" w:cs="Arial"/>
          <w:sz w:val="22"/>
          <w:szCs w:val="22"/>
        </w:rPr>
        <w:t>l nuevo artículo 64 ter</w:t>
      </w:r>
      <w:r w:rsidR="00E40A15" w:rsidRPr="00252C1F">
        <w:rPr>
          <w:rFonts w:ascii="Arial" w:hAnsi="Arial" w:cs="Arial"/>
          <w:sz w:val="22"/>
          <w:szCs w:val="22"/>
        </w:rPr>
        <w:t>, ambos</w:t>
      </w:r>
      <w:r w:rsidR="00D1110D" w:rsidRPr="00252C1F">
        <w:rPr>
          <w:rFonts w:ascii="Arial" w:hAnsi="Arial" w:cs="Arial"/>
          <w:sz w:val="22"/>
          <w:szCs w:val="22"/>
        </w:rPr>
        <w:t xml:space="preserve"> </w:t>
      </w:r>
      <w:r w:rsidR="00E40A15" w:rsidRPr="00252C1F">
        <w:rPr>
          <w:rFonts w:ascii="Arial" w:hAnsi="Arial" w:cs="Arial"/>
          <w:sz w:val="22"/>
          <w:szCs w:val="22"/>
        </w:rPr>
        <w:t>de la LIR</w:t>
      </w:r>
      <w:r w:rsidR="00F072A2" w:rsidRPr="00252C1F">
        <w:rPr>
          <w:rFonts w:ascii="Arial" w:hAnsi="Arial" w:cs="Arial"/>
          <w:sz w:val="22"/>
          <w:szCs w:val="22"/>
        </w:rPr>
        <w:t xml:space="preserve">, </w:t>
      </w:r>
      <w:r w:rsidR="00D1110D" w:rsidRPr="00252C1F">
        <w:rPr>
          <w:rFonts w:ascii="Arial" w:hAnsi="Arial" w:cs="Arial"/>
          <w:sz w:val="22"/>
          <w:szCs w:val="22"/>
        </w:rPr>
        <w:t xml:space="preserve">entrarán en vigor respecto de la </w:t>
      </w:r>
      <w:r w:rsidR="008447FA" w:rsidRPr="00716655">
        <w:rPr>
          <w:rFonts w:ascii="Arial" w:hAnsi="Arial" w:cs="Arial"/>
          <w:b/>
          <w:sz w:val="22"/>
          <w:szCs w:val="22"/>
        </w:rPr>
        <w:t>RIOM</w:t>
      </w:r>
      <w:r w:rsidR="00D1110D" w:rsidRPr="00252C1F">
        <w:rPr>
          <w:rFonts w:ascii="Arial" w:hAnsi="Arial" w:cs="Arial"/>
          <w:sz w:val="22"/>
          <w:szCs w:val="22"/>
        </w:rPr>
        <w:t xml:space="preserve"> que se determine a partir del año calendario 2011 (AT 2012)</w:t>
      </w:r>
      <w:r w:rsidR="008447FA" w:rsidRPr="00252C1F">
        <w:rPr>
          <w:rFonts w:ascii="Arial" w:hAnsi="Arial" w:cs="Arial"/>
          <w:sz w:val="22"/>
          <w:szCs w:val="22"/>
        </w:rPr>
        <w:t xml:space="preserve"> y siguientes</w:t>
      </w:r>
      <w:r w:rsidR="00D1110D" w:rsidRPr="00252C1F">
        <w:rPr>
          <w:rFonts w:ascii="Arial" w:hAnsi="Arial" w:cs="Arial"/>
          <w:sz w:val="22"/>
          <w:szCs w:val="22"/>
        </w:rPr>
        <w:t>.</w:t>
      </w:r>
    </w:p>
    <w:p w:rsidR="00F072A2" w:rsidRPr="00252C1F" w:rsidRDefault="00F072A2" w:rsidP="00C22DD9">
      <w:pPr>
        <w:autoSpaceDE w:val="0"/>
        <w:autoSpaceDN w:val="0"/>
        <w:adjustRightInd w:val="0"/>
        <w:ind w:right="-162"/>
        <w:jc w:val="both"/>
        <w:rPr>
          <w:rFonts w:ascii="Arial" w:hAnsi="Arial" w:cs="Arial"/>
          <w:sz w:val="22"/>
          <w:szCs w:val="22"/>
        </w:rPr>
      </w:pPr>
    </w:p>
    <w:p w:rsidR="00814672" w:rsidRDefault="008447FA" w:rsidP="00C22DD9">
      <w:pPr>
        <w:numPr>
          <w:ilvl w:val="0"/>
          <w:numId w:val="38"/>
        </w:numPr>
        <w:autoSpaceDE w:val="0"/>
        <w:autoSpaceDN w:val="0"/>
        <w:adjustRightInd w:val="0"/>
        <w:ind w:left="0" w:right="-162" w:firstLine="0"/>
        <w:jc w:val="both"/>
        <w:rPr>
          <w:rFonts w:ascii="Arial" w:hAnsi="Arial" w:cs="Arial"/>
          <w:sz w:val="22"/>
          <w:szCs w:val="22"/>
        </w:rPr>
      </w:pPr>
      <w:r w:rsidRPr="00252C1F">
        <w:rPr>
          <w:rFonts w:ascii="Arial" w:hAnsi="Arial" w:cs="Arial"/>
          <w:sz w:val="22"/>
          <w:szCs w:val="22"/>
        </w:rPr>
        <w:t>Q</w:t>
      </w:r>
      <w:r w:rsidR="00EA1F62" w:rsidRPr="00252C1F">
        <w:rPr>
          <w:rFonts w:ascii="Arial" w:hAnsi="Arial" w:cs="Arial"/>
          <w:sz w:val="22"/>
          <w:szCs w:val="22"/>
        </w:rPr>
        <w:t xml:space="preserve">uedarán sujetos, a partir del año calendario 2010 (AT 2011), al régimen de tributación general establecido en las normas legales </w:t>
      </w:r>
      <w:r w:rsidR="00E40A15" w:rsidRPr="00252C1F">
        <w:rPr>
          <w:rFonts w:ascii="Arial" w:hAnsi="Arial" w:cs="Arial"/>
          <w:sz w:val="22"/>
          <w:szCs w:val="22"/>
        </w:rPr>
        <w:t xml:space="preserve">antes </w:t>
      </w:r>
      <w:r w:rsidR="00EA1F62" w:rsidRPr="00252C1F">
        <w:rPr>
          <w:rFonts w:ascii="Arial" w:hAnsi="Arial" w:cs="Arial"/>
          <w:sz w:val="22"/>
          <w:szCs w:val="22"/>
        </w:rPr>
        <w:t xml:space="preserve">citadas, </w:t>
      </w:r>
      <w:r w:rsidR="00814672">
        <w:rPr>
          <w:rFonts w:ascii="Arial" w:hAnsi="Arial" w:cs="Arial"/>
          <w:sz w:val="22"/>
          <w:szCs w:val="22"/>
        </w:rPr>
        <w:t>aquellos contribuyentes</w:t>
      </w:r>
      <w:r w:rsidR="007461C4" w:rsidRPr="00252C1F">
        <w:rPr>
          <w:rFonts w:ascii="Arial" w:hAnsi="Arial" w:cs="Arial"/>
          <w:sz w:val="22"/>
          <w:szCs w:val="22"/>
        </w:rPr>
        <w:t xml:space="preserve"> que inicien sus actividades </w:t>
      </w:r>
      <w:r w:rsidR="00814672">
        <w:rPr>
          <w:rFonts w:ascii="Arial" w:hAnsi="Arial" w:cs="Arial"/>
          <w:sz w:val="22"/>
          <w:szCs w:val="22"/>
        </w:rPr>
        <w:t>a partir</w:t>
      </w:r>
      <w:r w:rsidR="007461C4" w:rsidRPr="00252C1F">
        <w:rPr>
          <w:rFonts w:ascii="Arial" w:hAnsi="Arial" w:cs="Arial"/>
          <w:sz w:val="22"/>
          <w:szCs w:val="22"/>
        </w:rPr>
        <w:t xml:space="preserve"> la fecha de publicación </w:t>
      </w:r>
      <w:r w:rsidRPr="00252C1F">
        <w:rPr>
          <w:rFonts w:ascii="Arial" w:hAnsi="Arial" w:cs="Arial"/>
          <w:sz w:val="22"/>
          <w:szCs w:val="22"/>
        </w:rPr>
        <w:t xml:space="preserve">en el Diario Oficial </w:t>
      </w:r>
      <w:r w:rsidR="007461C4" w:rsidRPr="00252C1F">
        <w:rPr>
          <w:rFonts w:ascii="Arial" w:hAnsi="Arial" w:cs="Arial"/>
          <w:sz w:val="22"/>
          <w:szCs w:val="22"/>
        </w:rPr>
        <w:t>de</w:t>
      </w:r>
      <w:r w:rsidR="00A85FE7" w:rsidRPr="00252C1F">
        <w:rPr>
          <w:rFonts w:ascii="Arial" w:hAnsi="Arial" w:cs="Arial"/>
          <w:sz w:val="22"/>
          <w:szCs w:val="22"/>
        </w:rPr>
        <w:t xml:space="preserve"> </w:t>
      </w:r>
      <w:r w:rsidR="00417341" w:rsidRPr="00252C1F">
        <w:rPr>
          <w:rFonts w:ascii="Arial" w:hAnsi="Arial" w:cs="Arial"/>
          <w:sz w:val="22"/>
          <w:szCs w:val="22"/>
        </w:rPr>
        <w:t>l</w:t>
      </w:r>
      <w:r w:rsidR="001611E8" w:rsidRPr="00252C1F">
        <w:rPr>
          <w:rFonts w:ascii="Arial" w:hAnsi="Arial" w:cs="Arial"/>
          <w:sz w:val="22"/>
          <w:szCs w:val="22"/>
        </w:rPr>
        <w:t>a L</w:t>
      </w:r>
      <w:r w:rsidR="007461C4" w:rsidRPr="00252C1F">
        <w:rPr>
          <w:rFonts w:ascii="Arial" w:hAnsi="Arial" w:cs="Arial"/>
          <w:sz w:val="22"/>
          <w:szCs w:val="22"/>
        </w:rPr>
        <w:t>ey</w:t>
      </w:r>
      <w:r w:rsidR="001A7F2F" w:rsidRPr="00252C1F">
        <w:rPr>
          <w:rFonts w:ascii="Arial" w:hAnsi="Arial" w:cs="Arial"/>
          <w:sz w:val="22"/>
          <w:szCs w:val="22"/>
        </w:rPr>
        <w:t xml:space="preserve"> </w:t>
      </w:r>
      <w:r w:rsidR="00417341" w:rsidRPr="00252C1F">
        <w:rPr>
          <w:rFonts w:ascii="Arial" w:hAnsi="Arial" w:cs="Arial"/>
          <w:sz w:val="22"/>
          <w:szCs w:val="22"/>
        </w:rPr>
        <w:t xml:space="preserve">20.469 </w:t>
      </w:r>
      <w:r w:rsidR="001A7F2F" w:rsidRPr="00252C1F">
        <w:rPr>
          <w:rStyle w:val="Refdenotaalpie"/>
          <w:rFonts w:ascii="Arial" w:hAnsi="Arial" w:cs="Arial"/>
          <w:sz w:val="22"/>
          <w:szCs w:val="22"/>
        </w:rPr>
        <w:footnoteReference w:id="22"/>
      </w:r>
      <w:r w:rsidR="00417341" w:rsidRPr="00252C1F">
        <w:rPr>
          <w:rFonts w:ascii="Arial" w:hAnsi="Arial" w:cs="Arial"/>
          <w:sz w:val="22"/>
          <w:szCs w:val="22"/>
        </w:rPr>
        <w:t>.</w:t>
      </w:r>
    </w:p>
    <w:p w:rsidR="00814672" w:rsidRDefault="00814672" w:rsidP="00C22DD9">
      <w:pPr>
        <w:autoSpaceDE w:val="0"/>
        <w:autoSpaceDN w:val="0"/>
        <w:adjustRightInd w:val="0"/>
        <w:ind w:right="-162"/>
        <w:jc w:val="both"/>
        <w:rPr>
          <w:rFonts w:ascii="Arial" w:hAnsi="Arial" w:cs="Arial"/>
          <w:sz w:val="22"/>
          <w:szCs w:val="22"/>
        </w:rPr>
      </w:pPr>
    </w:p>
    <w:p w:rsidR="007461C4" w:rsidRPr="00252C1F" w:rsidRDefault="00814672" w:rsidP="00C22DD9">
      <w:pPr>
        <w:numPr>
          <w:ilvl w:val="0"/>
          <w:numId w:val="38"/>
        </w:numPr>
        <w:autoSpaceDE w:val="0"/>
        <w:autoSpaceDN w:val="0"/>
        <w:adjustRightInd w:val="0"/>
        <w:ind w:left="0" w:right="-162" w:firstLine="0"/>
        <w:jc w:val="both"/>
        <w:rPr>
          <w:rFonts w:ascii="Arial" w:hAnsi="Arial" w:cs="Arial"/>
          <w:sz w:val="22"/>
          <w:szCs w:val="22"/>
        </w:rPr>
      </w:pPr>
      <w:r>
        <w:rPr>
          <w:rFonts w:ascii="Arial" w:hAnsi="Arial" w:cs="Arial"/>
          <w:sz w:val="22"/>
          <w:szCs w:val="22"/>
        </w:rPr>
        <w:t xml:space="preserve">Los contribuyentes que se encuentren en los casos a que se refieren las disposiciones </w:t>
      </w:r>
      <w:r w:rsidR="002A1713">
        <w:rPr>
          <w:rFonts w:ascii="Arial" w:hAnsi="Arial" w:cs="Arial"/>
          <w:sz w:val="22"/>
          <w:szCs w:val="22"/>
        </w:rPr>
        <w:t>transitorias de la Ley 20</w:t>
      </w:r>
      <w:r w:rsidR="007D5366">
        <w:rPr>
          <w:rFonts w:ascii="Arial" w:hAnsi="Arial" w:cs="Arial"/>
          <w:sz w:val="22"/>
          <w:szCs w:val="22"/>
        </w:rPr>
        <w:t>.</w:t>
      </w:r>
      <w:r w:rsidR="002A1713">
        <w:rPr>
          <w:rFonts w:ascii="Arial" w:hAnsi="Arial" w:cs="Arial"/>
          <w:sz w:val="22"/>
          <w:szCs w:val="22"/>
        </w:rPr>
        <w:t>469, deberán aplicar las normas que correspondan por los períodos señalados en los capítulos precedentes de esta Circular.</w:t>
      </w:r>
      <w:r w:rsidR="007461C4" w:rsidRPr="00252C1F">
        <w:rPr>
          <w:rFonts w:ascii="Arial" w:hAnsi="Arial" w:cs="Arial"/>
          <w:sz w:val="22"/>
          <w:szCs w:val="22"/>
        </w:rPr>
        <w:t xml:space="preserve"> </w:t>
      </w:r>
    </w:p>
    <w:p w:rsidR="00A85FE7" w:rsidRPr="00252C1F" w:rsidRDefault="00A85FE7" w:rsidP="00C22DD9">
      <w:pPr>
        <w:autoSpaceDE w:val="0"/>
        <w:autoSpaceDN w:val="0"/>
        <w:adjustRightInd w:val="0"/>
        <w:ind w:right="-162"/>
        <w:jc w:val="both"/>
        <w:rPr>
          <w:rFonts w:ascii="Arial" w:hAnsi="Arial" w:cs="Arial"/>
          <w:sz w:val="22"/>
          <w:szCs w:val="22"/>
        </w:rPr>
      </w:pPr>
    </w:p>
    <w:p w:rsidR="004403DF" w:rsidRDefault="004403DF" w:rsidP="00803937">
      <w:pPr>
        <w:autoSpaceDE w:val="0"/>
        <w:autoSpaceDN w:val="0"/>
        <w:adjustRightInd w:val="0"/>
        <w:ind w:left="426" w:right="-162" w:hanging="426"/>
        <w:jc w:val="both"/>
        <w:rPr>
          <w:rFonts w:ascii="Arial" w:hAnsi="Arial" w:cs="Arial"/>
          <w:b/>
          <w:sz w:val="22"/>
          <w:szCs w:val="22"/>
        </w:rPr>
      </w:pPr>
    </w:p>
    <w:p w:rsidR="00E40A15" w:rsidRPr="002A1713" w:rsidRDefault="000462C8" w:rsidP="00803937">
      <w:pPr>
        <w:autoSpaceDE w:val="0"/>
        <w:autoSpaceDN w:val="0"/>
        <w:adjustRightInd w:val="0"/>
        <w:ind w:left="426" w:right="-162" w:hanging="426"/>
        <w:jc w:val="both"/>
        <w:rPr>
          <w:rFonts w:ascii="Arial" w:hAnsi="Arial" w:cs="Arial"/>
          <w:b/>
          <w:sz w:val="22"/>
          <w:szCs w:val="22"/>
        </w:rPr>
      </w:pPr>
      <w:r w:rsidRPr="002A1713">
        <w:rPr>
          <w:rFonts w:ascii="Arial" w:hAnsi="Arial" w:cs="Arial"/>
          <w:b/>
          <w:sz w:val="22"/>
          <w:szCs w:val="22"/>
        </w:rPr>
        <w:t>(</w:t>
      </w:r>
      <w:r w:rsidR="00803937" w:rsidRPr="002A1713">
        <w:rPr>
          <w:rFonts w:ascii="Arial" w:hAnsi="Arial" w:cs="Arial"/>
          <w:b/>
          <w:sz w:val="22"/>
          <w:szCs w:val="22"/>
        </w:rPr>
        <w:t>2</w:t>
      </w:r>
      <w:r w:rsidR="00811D72" w:rsidRPr="002A1713">
        <w:rPr>
          <w:rFonts w:ascii="Arial" w:hAnsi="Arial" w:cs="Arial"/>
          <w:b/>
          <w:sz w:val="22"/>
          <w:szCs w:val="22"/>
        </w:rPr>
        <w:t>) Circulares.</w:t>
      </w:r>
    </w:p>
    <w:p w:rsidR="00811D72" w:rsidRPr="00252C1F" w:rsidRDefault="00811D72" w:rsidP="00811D72">
      <w:pPr>
        <w:autoSpaceDE w:val="0"/>
        <w:autoSpaceDN w:val="0"/>
        <w:adjustRightInd w:val="0"/>
        <w:ind w:left="1080" w:right="-162" w:hanging="540"/>
        <w:jc w:val="both"/>
        <w:rPr>
          <w:rFonts w:ascii="Arial" w:hAnsi="Arial" w:cs="Arial"/>
          <w:b/>
          <w:sz w:val="22"/>
          <w:szCs w:val="22"/>
        </w:rPr>
      </w:pPr>
    </w:p>
    <w:p w:rsidR="00522AB4" w:rsidRPr="00252C1F" w:rsidRDefault="00811D72" w:rsidP="00811D72">
      <w:pPr>
        <w:autoSpaceDE w:val="0"/>
        <w:autoSpaceDN w:val="0"/>
        <w:adjustRightInd w:val="0"/>
        <w:ind w:right="-162"/>
        <w:jc w:val="both"/>
        <w:rPr>
          <w:rFonts w:ascii="Arial" w:hAnsi="Arial" w:cs="Arial"/>
          <w:sz w:val="22"/>
          <w:szCs w:val="22"/>
        </w:rPr>
      </w:pPr>
      <w:r w:rsidRPr="00252C1F">
        <w:rPr>
          <w:rFonts w:ascii="Arial" w:hAnsi="Arial" w:cs="Arial"/>
          <w:sz w:val="22"/>
          <w:szCs w:val="22"/>
        </w:rPr>
        <w:t xml:space="preserve">En atención a que la presente Circular se ha limitado a dar a conocer e instruir acerca de las modificaciones legales relativas al </w:t>
      </w:r>
      <w:r w:rsidR="00564B27" w:rsidRPr="007D5366">
        <w:rPr>
          <w:rFonts w:ascii="Arial" w:hAnsi="Arial" w:cs="Arial"/>
          <w:b/>
          <w:sz w:val="22"/>
          <w:szCs w:val="22"/>
        </w:rPr>
        <w:t>IEM</w:t>
      </w:r>
      <w:r w:rsidR="00522AB4" w:rsidRPr="00252C1F">
        <w:rPr>
          <w:rFonts w:ascii="Arial" w:hAnsi="Arial" w:cs="Arial"/>
          <w:sz w:val="22"/>
          <w:szCs w:val="22"/>
        </w:rPr>
        <w:t xml:space="preserve"> de acuerdo a lo dispuesto en la Ley 20.469</w:t>
      </w:r>
      <w:r w:rsidRPr="00252C1F">
        <w:rPr>
          <w:rFonts w:ascii="Arial" w:hAnsi="Arial" w:cs="Arial"/>
          <w:sz w:val="22"/>
          <w:szCs w:val="22"/>
        </w:rPr>
        <w:t xml:space="preserve">, ella entrará en vigencia conjuntamente con la </w:t>
      </w:r>
      <w:r w:rsidR="00522AB4" w:rsidRPr="00252C1F">
        <w:rPr>
          <w:rFonts w:ascii="Arial" w:hAnsi="Arial" w:cs="Arial"/>
          <w:sz w:val="22"/>
          <w:szCs w:val="22"/>
        </w:rPr>
        <w:t xml:space="preserve">entrada en </w:t>
      </w:r>
      <w:r w:rsidRPr="00252C1F">
        <w:rPr>
          <w:rFonts w:ascii="Arial" w:hAnsi="Arial" w:cs="Arial"/>
          <w:sz w:val="22"/>
          <w:szCs w:val="22"/>
        </w:rPr>
        <w:t>vig</w:t>
      </w:r>
      <w:r w:rsidR="0061165D" w:rsidRPr="00252C1F">
        <w:rPr>
          <w:rFonts w:ascii="Arial" w:hAnsi="Arial" w:cs="Arial"/>
          <w:sz w:val="22"/>
          <w:szCs w:val="22"/>
        </w:rPr>
        <w:t>or</w:t>
      </w:r>
      <w:r w:rsidRPr="00252C1F">
        <w:rPr>
          <w:rFonts w:ascii="Arial" w:hAnsi="Arial" w:cs="Arial"/>
          <w:sz w:val="22"/>
          <w:szCs w:val="22"/>
        </w:rPr>
        <w:t xml:space="preserve"> de</w:t>
      </w:r>
      <w:r w:rsidR="00522AB4" w:rsidRPr="00252C1F">
        <w:rPr>
          <w:rFonts w:ascii="Arial" w:hAnsi="Arial" w:cs="Arial"/>
          <w:sz w:val="22"/>
          <w:szCs w:val="22"/>
        </w:rPr>
        <w:t xml:space="preserve"> </w:t>
      </w:r>
      <w:r w:rsidR="00564B27" w:rsidRPr="00252C1F">
        <w:rPr>
          <w:rFonts w:ascii="Arial" w:hAnsi="Arial" w:cs="Arial"/>
          <w:sz w:val="22"/>
          <w:szCs w:val="22"/>
        </w:rPr>
        <w:t>tales modificaciones</w:t>
      </w:r>
      <w:r w:rsidR="00522AB4" w:rsidRPr="00252C1F">
        <w:rPr>
          <w:rFonts w:ascii="Arial" w:hAnsi="Arial" w:cs="Arial"/>
          <w:sz w:val="22"/>
          <w:szCs w:val="22"/>
        </w:rPr>
        <w:t>.</w:t>
      </w:r>
    </w:p>
    <w:p w:rsidR="00522AB4" w:rsidRPr="00252C1F" w:rsidRDefault="00522AB4" w:rsidP="00811D72">
      <w:pPr>
        <w:autoSpaceDE w:val="0"/>
        <w:autoSpaceDN w:val="0"/>
        <w:adjustRightInd w:val="0"/>
        <w:ind w:right="-162"/>
        <w:jc w:val="both"/>
        <w:rPr>
          <w:rFonts w:ascii="Arial" w:hAnsi="Arial" w:cs="Arial"/>
          <w:sz w:val="22"/>
          <w:szCs w:val="22"/>
        </w:rPr>
      </w:pPr>
    </w:p>
    <w:p w:rsidR="00811D72" w:rsidRPr="00252C1F" w:rsidRDefault="00522AB4" w:rsidP="00811D72">
      <w:pPr>
        <w:autoSpaceDE w:val="0"/>
        <w:autoSpaceDN w:val="0"/>
        <w:adjustRightInd w:val="0"/>
        <w:ind w:right="-162"/>
        <w:jc w:val="both"/>
        <w:rPr>
          <w:rFonts w:ascii="Arial" w:hAnsi="Arial" w:cs="Arial"/>
          <w:sz w:val="22"/>
          <w:szCs w:val="22"/>
        </w:rPr>
      </w:pPr>
      <w:r w:rsidRPr="00252C1F">
        <w:rPr>
          <w:rFonts w:ascii="Arial" w:hAnsi="Arial" w:cs="Arial"/>
          <w:sz w:val="22"/>
          <w:szCs w:val="22"/>
        </w:rPr>
        <w:t xml:space="preserve">En lo no </w:t>
      </w:r>
      <w:r w:rsidR="00564B27" w:rsidRPr="00252C1F">
        <w:rPr>
          <w:rFonts w:ascii="Arial" w:hAnsi="Arial" w:cs="Arial"/>
          <w:sz w:val="22"/>
          <w:szCs w:val="22"/>
        </w:rPr>
        <w:t xml:space="preserve">previsto </w:t>
      </w:r>
      <w:r w:rsidR="0051482D">
        <w:rPr>
          <w:rFonts w:ascii="Arial" w:hAnsi="Arial" w:cs="Arial"/>
          <w:sz w:val="22"/>
          <w:szCs w:val="22"/>
        </w:rPr>
        <w:t xml:space="preserve">en </w:t>
      </w:r>
      <w:r w:rsidR="00564B27" w:rsidRPr="00252C1F">
        <w:rPr>
          <w:rFonts w:ascii="Arial" w:hAnsi="Arial" w:cs="Arial"/>
          <w:sz w:val="22"/>
          <w:szCs w:val="22"/>
        </w:rPr>
        <w:t>esta</w:t>
      </w:r>
      <w:r w:rsidRPr="00252C1F">
        <w:rPr>
          <w:rFonts w:ascii="Arial" w:hAnsi="Arial" w:cs="Arial"/>
          <w:sz w:val="22"/>
          <w:szCs w:val="22"/>
        </w:rPr>
        <w:t xml:space="preserve"> Circular, se mant</w:t>
      </w:r>
      <w:r w:rsidR="002A1713">
        <w:rPr>
          <w:rFonts w:ascii="Arial" w:hAnsi="Arial" w:cs="Arial"/>
          <w:sz w:val="22"/>
          <w:szCs w:val="22"/>
        </w:rPr>
        <w:t>i</w:t>
      </w:r>
      <w:r w:rsidRPr="00252C1F">
        <w:rPr>
          <w:rFonts w:ascii="Arial" w:hAnsi="Arial" w:cs="Arial"/>
          <w:sz w:val="22"/>
          <w:szCs w:val="22"/>
        </w:rPr>
        <w:t>en</w:t>
      </w:r>
      <w:r w:rsidR="002A1713">
        <w:rPr>
          <w:rFonts w:ascii="Arial" w:hAnsi="Arial" w:cs="Arial"/>
          <w:sz w:val="22"/>
          <w:szCs w:val="22"/>
        </w:rPr>
        <w:t>en</w:t>
      </w:r>
      <w:r w:rsidRPr="00252C1F">
        <w:rPr>
          <w:rFonts w:ascii="Arial" w:hAnsi="Arial" w:cs="Arial"/>
          <w:sz w:val="22"/>
          <w:szCs w:val="22"/>
        </w:rPr>
        <w:t xml:space="preserve"> vigente</w:t>
      </w:r>
      <w:r w:rsidR="00BD04C2" w:rsidRPr="00252C1F">
        <w:rPr>
          <w:rFonts w:ascii="Arial" w:hAnsi="Arial" w:cs="Arial"/>
          <w:sz w:val="22"/>
          <w:szCs w:val="22"/>
        </w:rPr>
        <w:t>s</w:t>
      </w:r>
      <w:r w:rsidRPr="00252C1F">
        <w:rPr>
          <w:rFonts w:ascii="Arial" w:hAnsi="Arial" w:cs="Arial"/>
          <w:sz w:val="22"/>
          <w:szCs w:val="22"/>
        </w:rPr>
        <w:t xml:space="preserve"> las instrucciones </w:t>
      </w:r>
      <w:r w:rsidR="00564B27" w:rsidRPr="00252C1F">
        <w:rPr>
          <w:rFonts w:ascii="Arial" w:hAnsi="Arial" w:cs="Arial"/>
          <w:sz w:val="22"/>
          <w:szCs w:val="22"/>
        </w:rPr>
        <w:t xml:space="preserve">impartidas </w:t>
      </w:r>
      <w:r w:rsidRPr="00252C1F">
        <w:rPr>
          <w:rFonts w:ascii="Arial" w:hAnsi="Arial" w:cs="Arial"/>
          <w:sz w:val="22"/>
          <w:szCs w:val="22"/>
        </w:rPr>
        <w:t>en la</w:t>
      </w:r>
      <w:r w:rsidR="002A1713">
        <w:rPr>
          <w:rFonts w:ascii="Arial" w:hAnsi="Arial" w:cs="Arial"/>
          <w:sz w:val="22"/>
          <w:szCs w:val="22"/>
        </w:rPr>
        <w:t>s c</w:t>
      </w:r>
      <w:r w:rsidRPr="00252C1F">
        <w:rPr>
          <w:rFonts w:ascii="Arial" w:hAnsi="Arial" w:cs="Arial"/>
          <w:sz w:val="22"/>
          <w:szCs w:val="22"/>
        </w:rPr>
        <w:t>ircular</w:t>
      </w:r>
      <w:r w:rsidR="00417341" w:rsidRPr="00252C1F">
        <w:rPr>
          <w:rFonts w:ascii="Arial" w:hAnsi="Arial" w:cs="Arial"/>
          <w:sz w:val="22"/>
          <w:szCs w:val="22"/>
        </w:rPr>
        <w:t>es</w:t>
      </w:r>
      <w:r w:rsidRPr="00252C1F">
        <w:rPr>
          <w:rFonts w:ascii="Arial" w:hAnsi="Arial" w:cs="Arial"/>
          <w:sz w:val="22"/>
          <w:szCs w:val="22"/>
        </w:rPr>
        <w:t xml:space="preserve"> N</w:t>
      </w:r>
      <w:r w:rsidR="001D60A0">
        <w:rPr>
          <w:rFonts w:ascii="Arial" w:hAnsi="Arial" w:cs="Arial"/>
          <w:sz w:val="22"/>
          <w:szCs w:val="22"/>
        </w:rPr>
        <w:t>°</w:t>
      </w:r>
      <w:r w:rsidR="00BD04C2" w:rsidRPr="00252C1F">
        <w:rPr>
          <w:rFonts w:ascii="Arial" w:hAnsi="Arial" w:cs="Arial"/>
          <w:sz w:val="22"/>
          <w:szCs w:val="22"/>
        </w:rPr>
        <w:t>s</w:t>
      </w:r>
      <w:r w:rsidRPr="00252C1F">
        <w:rPr>
          <w:rFonts w:ascii="Arial" w:hAnsi="Arial" w:cs="Arial"/>
          <w:sz w:val="22"/>
          <w:szCs w:val="22"/>
        </w:rPr>
        <w:t xml:space="preserve"> 55 </w:t>
      </w:r>
      <w:r w:rsidR="00417341" w:rsidRPr="00252C1F">
        <w:rPr>
          <w:rFonts w:ascii="Arial" w:hAnsi="Arial" w:cs="Arial"/>
          <w:sz w:val="22"/>
          <w:szCs w:val="22"/>
        </w:rPr>
        <w:t xml:space="preserve">y 60 </w:t>
      </w:r>
      <w:r w:rsidRPr="00252C1F">
        <w:rPr>
          <w:rFonts w:ascii="Arial" w:hAnsi="Arial" w:cs="Arial"/>
          <w:sz w:val="22"/>
          <w:szCs w:val="22"/>
        </w:rPr>
        <w:t>de 2005</w:t>
      </w:r>
      <w:r w:rsidR="00564B27" w:rsidRPr="00252C1F">
        <w:rPr>
          <w:rFonts w:ascii="Arial" w:hAnsi="Arial" w:cs="Arial"/>
          <w:sz w:val="22"/>
          <w:szCs w:val="22"/>
        </w:rPr>
        <w:t xml:space="preserve"> y N°34 de 2006</w:t>
      </w:r>
      <w:r w:rsidR="002A1713">
        <w:rPr>
          <w:rFonts w:ascii="Arial" w:hAnsi="Arial" w:cs="Arial"/>
          <w:sz w:val="22"/>
          <w:szCs w:val="22"/>
        </w:rPr>
        <w:t>,</w:t>
      </w:r>
      <w:r w:rsidR="0051482D">
        <w:rPr>
          <w:rFonts w:ascii="Arial" w:hAnsi="Arial" w:cs="Arial"/>
          <w:sz w:val="22"/>
          <w:szCs w:val="22"/>
        </w:rPr>
        <w:t xml:space="preserve"> y en otros pronunciamientos de este Servicio,</w:t>
      </w:r>
      <w:r w:rsidR="002A1713">
        <w:rPr>
          <w:rFonts w:ascii="Arial" w:hAnsi="Arial" w:cs="Arial"/>
          <w:sz w:val="22"/>
          <w:szCs w:val="22"/>
        </w:rPr>
        <w:t xml:space="preserve"> en </w:t>
      </w:r>
      <w:r w:rsidR="0051482D">
        <w:rPr>
          <w:rFonts w:ascii="Arial" w:hAnsi="Arial" w:cs="Arial"/>
          <w:sz w:val="22"/>
          <w:szCs w:val="22"/>
        </w:rPr>
        <w:t xml:space="preserve">todo lo </w:t>
      </w:r>
      <w:r w:rsidR="002A1713">
        <w:rPr>
          <w:rFonts w:ascii="Arial" w:hAnsi="Arial" w:cs="Arial"/>
          <w:sz w:val="22"/>
          <w:szCs w:val="22"/>
        </w:rPr>
        <w:t>que no sean contradictorias con lo interpretado en este instructivo</w:t>
      </w:r>
      <w:r w:rsidRPr="00252C1F">
        <w:rPr>
          <w:rFonts w:ascii="Arial" w:hAnsi="Arial" w:cs="Arial"/>
          <w:sz w:val="22"/>
          <w:szCs w:val="22"/>
        </w:rPr>
        <w:t xml:space="preserve">. </w:t>
      </w:r>
    </w:p>
    <w:p w:rsidR="00522AB4" w:rsidRDefault="00522AB4" w:rsidP="00811D72">
      <w:pPr>
        <w:autoSpaceDE w:val="0"/>
        <w:autoSpaceDN w:val="0"/>
        <w:adjustRightInd w:val="0"/>
        <w:ind w:right="-162"/>
        <w:jc w:val="both"/>
        <w:rPr>
          <w:rFonts w:ascii="Arial" w:hAnsi="Arial" w:cs="Arial"/>
          <w:sz w:val="22"/>
          <w:szCs w:val="22"/>
        </w:rPr>
      </w:pPr>
    </w:p>
    <w:p w:rsidR="00381953" w:rsidRDefault="00381953" w:rsidP="00811D72">
      <w:pPr>
        <w:autoSpaceDE w:val="0"/>
        <w:autoSpaceDN w:val="0"/>
        <w:adjustRightInd w:val="0"/>
        <w:ind w:right="-162"/>
        <w:jc w:val="both"/>
        <w:rPr>
          <w:rFonts w:ascii="Arial" w:hAnsi="Arial" w:cs="Arial"/>
          <w:sz w:val="22"/>
          <w:szCs w:val="22"/>
        </w:rPr>
      </w:pPr>
      <w:r>
        <w:rPr>
          <w:rFonts w:ascii="Arial" w:hAnsi="Arial" w:cs="Arial"/>
          <w:sz w:val="22"/>
          <w:szCs w:val="22"/>
        </w:rPr>
        <w:t>Saluda atte., a Ud.</w:t>
      </w:r>
    </w:p>
    <w:p w:rsidR="00381953" w:rsidRDefault="00381953" w:rsidP="00811D72">
      <w:pPr>
        <w:autoSpaceDE w:val="0"/>
        <w:autoSpaceDN w:val="0"/>
        <w:adjustRightInd w:val="0"/>
        <w:ind w:right="-162"/>
        <w:jc w:val="both"/>
        <w:rPr>
          <w:rFonts w:ascii="Arial" w:hAnsi="Arial" w:cs="Arial"/>
          <w:sz w:val="22"/>
          <w:szCs w:val="22"/>
        </w:rPr>
      </w:pPr>
    </w:p>
    <w:p w:rsidR="004403DF" w:rsidRDefault="004403DF" w:rsidP="00811D72">
      <w:pPr>
        <w:autoSpaceDE w:val="0"/>
        <w:autoSpaceDN w:val="0"/>
        <w:adjustRightInd w:val="0"/>
        <w:ind w:right="-162"/>
        <w:jc w:val="both"/>
        <w:rPr>
          <w:rFonts w:ascii="Arial" w:hAnsi="Arial" w:cs="Arial"/>
          <w:sz w:val="22"/>
          <w:szCs w:val="22"/>
        </w:rPr>
      </w:pPr>
    </w:p>
    <w:p w:rsidR="00381953" w:rsidRPr="00EC17FB" w:rsidRDefault="00381953" w:rsidP="00811D72">
      <w:pPr>
        <w:autoSpaceDE w:val="0"/>
        <w:autoSpaceDN w:val="0"/>
        <w:adjustRightInd w:val="0"/>
        <w:ind w:right="-162"/>
        <w:jc w:val="both"/>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C17FB">
        <w:rPr>
          <w:rFonts w:ascii="Arial" w:hAnsi="Arial" w:cs="Arial"/>
          <w:sz w:val="22"/>
          <w:szCs w:val="22"/>
        </w:rPr>
        <w:t xml:space="preserve">   </w:t>
      </w:r>
      <w:r w:rsidR="00EC17FB" w:rsidRPr="00EC17FB">
        <w:rPr>
          <w:rFonts w:ascii="Arial" w:hAnsi="Arial" w:cs="Arial"/>
          <w:b/>
          <w:sz w:val="22"/>
          <w:szCs w:val="22"/>
        </w:rPr>
        <w:t>MARIO VILA FERNÁNDEZ</w:t>
      </w:r>
    </w:p>
    <w:p w:rsidR="00CF1D15" w:rsidRDefault="00CF1D15" w:rsidP="00811D72">
      <w:pPr>
        <w:autoSpaceDE w:val="0"/>
        <w:autoSpaceDN w:val="0"/>
        <w:adjustRightInd w:val="0"/>
        <w:ind w:right="-162"/>
        <w:jc w:val="both"/>
        <w:rPr>
          <w:rFonts w:ascii="Arial" w:hAnsi="Arial" w:cs="Arial"/>
          <w:b/>
          <w:sz w:val="22"/>
          <w:szCs w:val="22"/>
        </w:rPr>
      </w:pPr>
      <w:r w:rsidRPr="00CF1D15">
        <w:rPr>
          <w:rFonts w:ascii="Arial" w:hAnsi="Arial" w:cs="Arial"/>
          <w:b/>
          <w:sz w:val="22"/>
          <w:szCs w:val="22"/>
        </w:rPr>
        <w:tab/>
      </w:r>
      <w:r w:rsidRPr="00CF1D15">
        <w:rPr>
          <w:rFonts w:ascii="Arial" w:hAnsi="Arial" w:cs="Arial"/>
          <w:b/>
          <w:sz w:val="22"/>
          <w:szCs w:val="22"/>
        </w:rPr>
        <w:tab/>
      </w:r>
      <w:r w:rsidRPr="00CF1D15">
        <w:rPr>
          <w:rFonts w:ascii="Arial" w:hAnsi="Arial" w:cs="Arial"/>
          <w:b/>
          <w:sz w:val="22"/>
          <w:szCs w:val="22"/>
        </w:rPr>
        <w:tab/>
      </w:r>
      <w:r w:rsidRPr="00CF1D15">
        <w:rPr>
          <w:rFonts w:ascii="Arial" w:hAnsi="Arial" w:cs="Arial"/>
          <w:b/>
          <w:sz w:val="22"/>
          <w:szCs w:val="22"/>
        </w:rPr>
        <w:tab/>
      </w:r>
      <w:r w:rsidRPr="00CF1D15">
        <w:rPr>
          <w:rFonts w:ascii="Arial" w:hAnsi="Arial" w:cs="Arial"/>
          <w:b/>
          <w:sz w:val="22"/>
          <w:szCs w:val="22"/>
        </w:rPr>
        <w:tab/>
      </w:r>
      <w:r w:rsidRPr="00CF1D15">
        <w:rPr>
          <w:rFonts w:ascii="Arial" w:hAnsi="Arial" w:cs="Arial"/>
          <w:b/>
          <w:sz w:val="22"/>
          <w:szCs w:val="22"/>
        </w:rPr>
        <w:tab/>
      </w:r>
      <w:r w:rsidRPr="00CF1D15">
        <w:rPr>
          <w:rFonts w:ascii="Arial" w:hAnsi="Arial" w:cs="Arial"/>
          <w:b/>
          <w:sz w:val="22"/>
          <w:szCs w:val="22"/>
        </w:rPr>
        <w:tab/>
      </w:r>
      <w:r w:rsidR="006722EF">
        <w:rPr>
          <w:rFonts w:ascii="Arial" w:hAnsi="Arial" w:cs="Arial"/>
          <w:b/>
          <w:sz w:val="22"/>
          <w:szCs w:val="22"/>
        </w:rPr>
        <w:t xml:space="preserve">  </w:t>
      </w:r>
      <w:r w:rsidRPr="00CF1D15">
        <w:rPr>
          <w:rFonts w:ascii="Arial" w:hAnsi="Arial" w:cs="Arial"/>
          <w:b/>
          <w:sz w:val="22"/>
          <w:szCs w:val="22"/>
        </w:rPr>
        <w:t>DIRECTOR</w:t>
      </w:r>
      <w:r w:rsidR="00EC17FB">
        <w:rPr>
          <w:rFonts w:ascii="Arial" w:hAnsi="Arial" w:cs="Arial"/>
          <w:b/>
          <w:sz w:val="22"/>
          <w:szCs w:val="22"/>
        </w:rPr>
        <w:t xml:space="preserve"> (S)</w:t>
      </w:r>
      <w:r w:rsidRPr="00CF1D15">
        <w:rPr>
          <w:rFonts w:ascii="Arial" w:hAnsi="Arial" w:cs="Arial"/>
          <w:b/>
          <w:sz w:val="22"/>
          <w:szCs w:val="22"/>
        </w:rPr>
        <w:t>.</w:t>
      </w:r>
    </w:p>
    <w:p w:rsidR="00315326" w:rsidRPr="00CF1D15" w:rsidRDefault="00315326" w:rsidP="00315326">
      <w:pPr>
        <w:autoSpaceDE w:val="0"/>
        <w:autoSpaceDN w:val="0"/>
        <w:adjustRightInd w:val="0"/>
        <w:ind w:right="-162"/>
        <w:jc w:val="both"/>
        <w:rPr>
          <w:rFonts w:ascii="Arial" w:hAnsi="Arial" w:cs="Arial"/>
          <w:b/>
          <w:sz w:val="22"/>
          <w:szCs w:val="22"/>
          <w:u w:val="single"/>
        </w:rPr>
      </w:pPr>
      <w:r w:rsidRPr="00CF1D15">
        <w:rPr>
          <w:rFonts w:ascii="Arial" w:hAnsi="Arial" w:cs="Arial"/>
          <w:b/>
          <w:sz w:val="22"/>
          <w:szCs w:val="22"/>
          <w:u w:val="single"/>
        </w:rPr>
        <w:t>JARB/ACO/PCR/GFD.</w:t>
      </w:r>
    </w:p>
    <w:p w:rsidR="00315326" w:rsidRDefault="00315326" w:rsidP="00315326">
      <w:pPr>
        <w:autoSpaceDE w:val="0"/>
        <w:autoSpaceDN w:val="0"/>
        <w:adjustRightInd w:val="0"/>
        <w:ind w:right="-162"/>
        <w:jc w:val="both"/>
        <w:rPr>
          <w:rFonts w:ascii="Arial" w:hAnsi="Arial" w:cs="Arial"/>
          <w:b/>
          <w:sz w:val="22"/>
          <w:szCs w:val="22"/>
        </w:rPr>
      </w:pPr>
      <w:r>
        <w:rPr>
          <w:rFonts w:ascii="Arial" w:hAnsi="Arial" w:cs="Arial"/>
          <w:b/>
          <w:sz w:val="22"/>
          <w:szCs w:val="22"/>
        </w:rPr>
        <w:t>DISTRIBUCIÓN:</w:t>
      </w:r>
    </w:p>
    <w:p w:rsidR="00315326" w:rsidRDefault="00315326" w:rsidP="00315326">
      <w:pPr>
        <w:autoSpaceDE w:val="0"/>
        <w:autoSpaceDN w:val="0"/>
        <w:adjustRightInd w:val="0"/>
        <w:ind w:right="-162"/>
        <w:jc w:val="both"/>
        <w:rPr>
          <w:rFonts w:ascii="Arial" w:hAnsi="Arial" w:cs="Arial"/>
          <w:b/>
          <w:sz w:val="22"/>
          <w:szCs w:val="22"/>
        </w:rPr>
      </w:pPr>
      <w:r>
        <w:rPr>
          <w:rFonts w:ascii="Arial" w:hAnsi="Arial" w:cs="Arial"/>
          <w:b/>
          <w:sz w:val="22"/>
          <w:szCs w:val="22"/>
        </w:rPr>
        <w:t>A OFICINA DE GESTIÓN NORMATIVO</w:t>
      </w:r>
    </w:p>
    <w:p w:rsidR="00315326" w:rsidRDefault="00315326" w:rsidP="00315326">
      <w:pPr>
        <w:autoSpaceDE w:val="0"/>
        <w:autoSpaceDN w:val="0"/>
        <w:adjustRightInd w:val="0"/>
        <w:ind w:right="-162"/>
        <w:jc w:val="both"/>
        <w:rPr>
          <w:rFonts w:ascii="Arial" w:hAnsi="Arial" w:cs="Arial"/>
          <w:b/>
          <w:sz w:val="22"/>
          <w:szCs w:val="22"/>
        </w:rPr>
      </w:pPr>
      <w:r>
        <w:rPr>
          <w:rFonts w:ascii="Arial" w:hAnsi="Arial" w:cs="Arial"/>
          <w:b/>
          <w:sz w:val="22"/>
          <w:szCs w:val="22"/>
        </w:rPr>
        <w:t>AL BOLETÍN</w:t>
      </w:r>
    </w:p>
    <w:p w:rsidR="00315326" w:rsidRDefault="00315326" w:rsidP="00315326">
      <w:pPr>
        <w:autoSpaceDE w:val="0"/>
        <w:autoSpaceDN w:val="0"/>
        <w:adjustRightInd w:val="0"/>
        <w:ind w:right="-162"/>
        <w:jc w:val="both"/>
        <w:rPr>
          <w:rFonts w:ascii="Arial" w:hAnsi="Arial" w:cs="Arial"/>
          <w:b/>
          <w:sz w:val="22"/>
          <w:szCs w:val="22"/>
        </w:rPr>
      </w:pPr>
      <w:r>
        <w:rPr>
          <w:rFonts w:ascii="Arial" w:hAnsi="Arial" w:cs="Arial"/>
          <w:b/>
          <w:sz w:val="22"/>
          <w:szCs w:val="22"/>
        </w:rPr>
        <w:t>A INTERNET</w:t>
      </w:r>
    </w:p>
    <w:p w:rsidR="00315326" w:rsidRDefault="00315326" w:rsidP="00315326">
      <w:pPr>
        <w:autoSpaceDE w:val="0"/>
        <w:autoSpaceDN w:val="0"/>
        <w:adjustRightInd w:val="0"/>
        <w:ind w:right="-162"/>
        <w:jc w:val="both"/>
        <w:rPr>
          <w:rFonts w:ascii="Arial" w:hAnsi="Arial" w:cs="Arial"/>
          <w:b/>
          <w:sz w:val="22"/>
          <w:szCs w:val="22"/>
        </w:rPr>
      </w:pPr>
      <w:r>
        <w:rPr>
          <w:rFonts w:ascii="Arial" w:hAnsi="Arial" w:cs="Arial"/>
          <w:b/>
          <w:sz w:val="22"/>
          <w:szCs w:val="22"/>
        </w:rPr>
        <w:t>AL DIARIO OFICIAL EN EXTRACTO</w:t>
      </w:r>
    </w:p>
    <w:p w:rsidR="00EC17FB" w:rsidRDefault="00EC17FB" w:rsidP="00811D72">
      <w:pPr>
        <w:autoSpaceDE w:val="0"/>
        <w:autoSpaceDN w:val="0"/>
        <w:adjustRightInd w:val="0"/>
        <w:ind w:right="-162"/>
        <w:jc w:val="both"/>
        <w:rPr>
          <w:rFonts w:ascii="Arial" w:hAnsi="Arial" w:cs="Arial"/>
          <w:b/>
          <w:sz w:val="22"/>
          <w:szCs w:val="22"/>
          <w:u w:val="single"/>
        </w:rPr>
      </w:pPr>
    </w:p>
    <w:p w:rsidR="00CF1D15" w:rsidRPr="0051482D" w:rsidRDefault="00CF1D15" w:rsidP="00811D72">
      <w:pPr>
        <w:autoSpaceDE w:val="0"/>
        <w:autoSpaceDN w:val="0"/>
        <w:adjustRightInd w:val="0"/>
        <w:ind w:right="-162"/>
        <w:jc w:val="both"/>
        <w:rPr>
          <w:rFonts w:ascii="Arial" w:hAnsi="Arial" w:cs="Arial"/>
          <w:b/>
          <w:sz w:val="22"/>
          <w:szCs w:val="22"/>
          <w:u w:val="single"/>
        </w:rPr>
      </w:pPr>
      <w:r w:rsidRPr="0051482D">
        <w:rPr>
          <w:rFonts w:ascii="Arial" w:hAnsi="Arial" w:cs="Arial"/>
          <w:b/>
          <w:sz w:val="22"/>
          <w:szCs w:val="22"/>
          <w:u w:val="single"/>
        </w:rPr>
        <w:t>ANEXOS.</w:t>
      </w:r>
    </w:p>
    <w:p w:rsidR="00AF4F17" w:rsidRPr="005453C6" w:rsidRDefault="00AF4F17" w:rsidP="00811D72">
      <w:pPr>
        <w:autoSpaceDE w:val="0"/>
        <w:autoSpaceDN w:val="0"/>
        <w:adjustRightInd w:val="0"/>
        <w:ind w:right="-162"/>
        <w:jc w:val="both"/>
        <w:rPr>
          <w:rFonts w:ascii="Arial" w:hAnsi="Arial" w:cs="Arial"/>
          <w:b/>
          <w:bCs/>
          <w:color w:val="000000"/>
          <w:lang w:val="es-CL" w:eastAsia="es-CL"/>
        </w:rPr>
      </w:pPr>
      <w:r w:rsidRPr="005453C6">
        <w:rPr>
          <w:rFonts w:ascii="Arial" w:hAnsi="Arial" w:cs="Arial"/>
          <w:b/>
          <w:bCs/>
          <w:color w:val="000000"/>
          <w:lang w:val="es-CL" w:eastAsia="es-CL"/>
        </w:rPr>
        <w:t>ANEXO N° 1 TASAS LETRA b), INC. 3°, ART. 64 BIS.</w:t>
      </w:r>
    </w:p>
    <w:p w:rsidR="00AF4F17" w:rsidRDefault="004B6956" w:rsidP="00811D72">
      <w:pPr>
        <w:autoSpaceDE w:val="0"/>
        <w:autoSpaceDN w:val="0"/>
        <w:adjustRightInd w:val="0"/>
        <w:ind w:right="-162"/>
        <w:jc w:val="both"/>
        <w:rPr>
          <w:rFonts w:ascii="Arial" w:hAnsi="Arial" w:cs="Arial"/>
          <w:b/>
          <w:sz w:val="22"/>
          <w:szCs w:val="22"/>
        </w:rPr>
      </w:pPr>
      <w:r w:rsidRPr="00ED66AC">
        <w:rPr>
          <w:rFonts w:ascii="Arial" w:hAnsi="Arial" w:cs="Arial"/>
          <w:b/>
          <w:bCs/>
          <w:color w:val="000000"/>
          <w:lang w:val="es-CL" w:eastAsia="es-CL"/>
        </w:rPr>
        <w:t>ANEXO N° 2 TASAS LETRA c), INC. 3°, ART. 64 BIS.</w:t>
      </w:r>
    </w:p>
    <w:p w:rsidR="00ED66AC" w:rsidRPr="00ED66AC" w:rsidRDefault="00ED66AC" w:rsidP="00ED66AC">
      <w:pPr>
        <w:rPr>
          <w:rFonts w:ascii="Arial" w:hAnsi="Arial" w:cs="Arial"/>
          <w:b/>
          <w:caps/>
        </w:rPr>
      </w:pPr>
      <w:r w:rsidRPr="00ED66AC">
        <w:rPr>
          <w:rFonts w:ascii="Arial" w:hAnsi="Arial" w:cs="Arial"/>
          <w:b/>
          <w:caps/>
        </w:rPr>
        <w:t>Anexo N°3 Normas de Relación.</w:t>
      </w:r>
    </w:p>
    <w:p w:rsidR="00ED66AC" w:rsidRDefault="00ED66AC" w:rsidP="00811D72">
      <w:pPr>
        <w:autoSpaceDE w:val="0"/>
        <w:autoSpaceDN w:val="0"/>
        <w:adjustRightInd w:val="0"/>
        <w:ind w:right="-162"/>
        <w:jc w:val="both"/>
        <w:rPr>
          <w:rFonts w:ascii="Arial" w:hAnsi="Arial" w:cs="Arial"/>
          <w:b/>
          <w:bCs/>
          <w:lang w:eastAsia="es-CL"/>
        </w:rPr>
      </w:pPr>
      <w:r w:rsidRPr="00ED66AC">
        <w:rPr>
          <w:rFonts w:ascii="Arial" w:hAnsi="Arial" w:cs="Arial"/>
          <w:b/>
          <w:bCs/>
          <w:lang w:eastAsia="es-CL"/>
        </w:rPr>
        <w:t>ANEXO N°4 TASA EFECTIVA LETRA b) INC. 3° ART. 64 BIS.</w:t>
      </w:r>
    </w:p>
    <w:p w:rsidR="00CC0BBA" w:rsidRDefault="00DF5047" w:rsidP="00811D72">
      <w:pPr>
        <w:autoSpaceDE w:val="0"/>
        <w:autoSpaceDN w:val="0"/>
        <w:adjustRightInd w:val="0"/>
        <w:ind w:right="-162"/>
        <w:jc w:val="both"/>
        <w:rPr>
          <w:rFonts w:ascii="Arial" w:hAnsi="Arial" w:cs="Arial"/>
          <w:b/>
          <w:sz w:val="22"/>
          <w:szCs w:val="22"/>
        </w:rPr>
      </w:pPr>
      <w:r w:rsidRPr="00ED66AC">
        <w:rPr>
          <w:rFonts w:ascii="Arial" w:hAnsi="Arial" w:cs="Arial"/>
          <w:b/>
          <w:bCs/>
          <w:lang w:eastAsia="es-CL"/>
        </w:rPr>
        <w:t>ANEXO N°</w:t>
      </w:r>
      <w:r>
        <w:rPr>
          <w:rFonts w:ascii="Arial" w:hAnsi="Arial" w:cs="Arial"/>
          <w:b/>
          <w:bCs/>
          <w:lang w:eastAsia="es-CL"/>
        </w:rPr>
        <w:t>5</w:t>
      </w:r>
      <w:r w:rsidRPr="00ED66AC">
        <w:rPr>
          <w:rFonts w:ascii="Arial" w:hAnsi="Arial" w:cs="Arial"/>
          <w:b/>
          <w:bCs/>
          <w:lang w:eastAsia="es-CL"/>
        </w:rPr>
        <w:t xml:space="preserve"> TASA EFECTIVA LETRA </w:t>
      </w:r>
      <w:r>
        <w:rPr>
          <w:rFonts w:ascii="Arial" w:hAnsi="Arial" w:cs="Arial"/>
          <w:b/>
          <w:bCs/>
          <w:lang w:eastAsia="es-CL"/>
        </w:rPr>
        <w:t>c</w:t>
      </w:r>
      <w:r w:rsidRPr="00ED66AC">
        <w:rPr>
          <w:rFonts w:ascii="Arial" w:hAnsi="Arial" w:cs="Arial"/>
          <w:b/>
          <w:bCs/>
          <w:lang w:eastAsia="es-CL"/>
        </w:rPr>
        <w:t>) INC. 3° ART. 64 BIS.</w:t>
      </w:r>
    </w:p>
    <w:p w:rsidR="00DF5047" w:rsidRDefault="00DF5047" w:rsidP="00811D72">
      <w:pPr>
        <w:autoSpaceDE w:val="0"/>
        <w:autoSpaceDN w:val="0"/>
        <w:adjustRightInd w:val="0"/>
        <w:ind w:right="-162"/>
        <w:jc w:val="both"/>
        <w:rPr>
          <w:rFonts w:ascii="Arial" w:hAnsi="Arial" w:cs="Arial"/>
          <w:b/>
          <w:bCs/>
        </w:rPr>
      </w:pPr>
      <w:r w:rsidRPr="00DF5047">
        <w:rPr>
          <w:rFonts w:ascii="Arial" w:hAnsi="Arial" w:cs="Arial"/>
          <w:b/>
          <w:bCs/>
          <w:color w:val="000000"/>
          <w:lang w:eastAsia="es-CL"/>
        </w:rPr>
        <w:t>ANEXO N°6 DETERMINACIÓN DE LA</w:t>
      </w:r>
      <w:r w:rsidRPr="00DF5047">
        <w:rPr>
          <w:rFonts w:ascii="Arial" w:hAnsi="Arial" w:cs="Arial"/>
          <w:b/>
          <w:bCs/>
        </w:rPr>
        <w:t xml:space="preserve"> RIOM.</w:t>
      </w:r>
    </w:p>
    <w:p w:rsidR="00DF5047" w:rsidRDefault="00DF5047" w:rsidP="00811D72">
      <w:pPr>
        <w:autoSpaceDE w:val="0"/>
        <w:autoSpaceDN w:val="0"/>
        <w:adjustRightInd w:val="0"/>
        <w:ind w:right="-162"/>
        <w:jc w:val="both"/>
        <w:rPr>
          <w:rFonts w:ascii="Arial" w:hAnsi="Arial" w:cs="Arial"/>
          <w:b/>
          <w:bCs/>
          <w:caps/>
          <w:color w:val="000000"/>
          <w:lang w:eastAsia="es-CL"/>
        </w:rPr>
      </w:pPr>
      <w:r w:rsidRPr="00DF5047">
        <w:rPr>
          <w:rFonts w:ascii="Arial" w:hAnsi="Arial" w:cs="Arial"/>
          <w:b/>
          <w:bCs/>
          <w:caps/>
          <w:color w:val="000000"/>
          <w:lang w:eastAsia="es-CL"/>
        </w:rPr>
        <w:t>Anexo N° 7</w:t>
      </w:r>
      <w:r>
        <w:rPr>
          <w:rFonts w:ascii="Arial" w:hAnsi="Arial" w:cs="Arial"/>
          <w:b/>
          <w:bCs/>
          <w:caps/>
          <w:color w:val="000000"/>
          <w:lang w:eastAsia="es-CL"/>
        </w:rPr>
        <w:t xml:space="preserve"> EJEMPLOS.</w:t>
      </w:r>
    </w:p>
    <w:p w:rsidR="003E25D4" w:rsidRDefault="003E25D4" w:rsidP="003E25D4">
      <w:pPr>
        <w:autoSpaceDE w:val="0"/>
        <w:autoSpaceDN w:val="0"/>
        <w:adjustRightInd w:val="0"/>
        <w:ind w:right="-162"/>
        <w:rPr>
          <w:rFonts w:ascii="Arial" w:hAnsi="Arial" w:cs="Arial"/>
          <w:b/>
          <w:sz w:val="22"/>
          <w:szCs w:val="22"/>
        </w:rPr>
      </w:pPr>
      <w:r w:rsidRPr="00ED66AC">
        <w:rPr>
          <w:rFonts w:ascii="Arial" w:hAnsi="Arial" w:cs="Arial"/>
          <w:b/>
          <w:bCs/>
          <w:lang w:eastAsia="es-CL"/>
        </w:rPr>
        <w:t>ANEXO N°</w:t>
      </w:r>
      <w:r>
        <w:rPr>
          <w:rFonts w:ascii="Arial" w:hAnsi="Arial" w:cs="Arial"/>
          <w:b/>
          <w:bCs/>
          <w:lang w:eastAsia="es-CL"/>
        </w:rPr>
        <w:t>8 ART. 2° TRANSITORIO LEY 20.469</w:t>
      </w:r>
      <w:r w:rsidRPr="00ED66AC">
        <w:rPr>
          <w:rFonts w:ascii="Arial" w:hAnsi="Arial" w:cs="Arial"/>
          <w:b/>
          <w:bCs/>
          <w:lang w:eastAsia="es-CL"/>
        </w:rPr>
        <w:t>.</w:t>
      </w:r>
    </w:p>
    <w:p w:rsidR="003E25D4" w:rsidRPr="003E25D4" w:rsidRDefault="003E25D4" w:rsidP="003E25D4">
      <w:pPr>
        <w:autoSpaceDE w:val="0"/>
        <w:autoSpaceDN w:val="0"/>
        <w:adjustRightInd w:val="0"/>
        <w:ind w:right="-162"/>
        <w:jc w:val="both"/>
        <w:rPr>
          <w:rFonts w:ascii="Arial" w:hAnsi="Arial" w:cs="Arial"/>
          <w:b/>
        </w:rPr>
      </w:pPr>
      <w:r w:rsidRPr="003E25D4">
        <w:rPr>
          <w:rFonts w:ascii="Arial" w:hAnsi="Arial" w:cs="Arial"/>
          <w:b/>
        </w:rPr>
        <w:t>ANEXO N°9 RESUMEN REGÍMENES DE INVARIABILIDAD TRIBUTARIA.</w:t>
      </w:r>
    </w:p>
    <w:p w:rsidR="00CC0BBA" w:rsidRDefault="00CC0BBA" w:rsidP="00811D72">
      <w:pPr>
        <w:autoSpaceDE w:val="0"/>
        <w:autoSpaceDN w:val="0"/>
        <w:adjustRightInd w:val="0"/>
        <w:ind w:right="-162"/>
        <w:jc w:val="both"/>
        <w:rPr>
          <w:rFonts w:ascii="Arial" w:hAnsi="Arial" w:cs="Arial"/>
          <w:b/>
          <w:sz w:val="22"/>
          <w:szCs w:val="22"/>
        </w:rPr>
      </w:pPr>
    </w:p>
    <w:p w:rsidR="00CF1D15" w:rsidRDefault="00CF1D15" w:rsidP="00811D72">
      <w:pPr>
        <w:autoSpaceDE w:val="0"/>
        <w:autoSpaceDN w:val="0"/>
        <w:adjustRightInd w:val="0"/>
        <w:ind w:right="-162"/>
        <w:jc w:val="both"/>
        <w:rPr>
          <w:rFonts w:ascii="Arial" w:hAnsi="Arial" w:cs="Arial"/>
          <w:b/>
          <w:sz w:val="22"/>
          <w:szCs w:val="22"/>
        </w:rPr>
      </w:pPr>
    </w:p>
    <w:p w:rsidR="00AC57FD" w:rsidRDefault="00AC57FD" w:rsidP="00811D72">
      <w:pPr>
        <w:autoSpaceDE w:val="0"/>
        <w:autoSpaceDN w:val="0"/>
        <w:adjustRightInd w:val="0"/>
        <w:ind w:right="-162"/>
        <w:jc w:val="both"/>
        <w:rPr>
          <w:rFonts w:ascii="Arial" w:hAnsi="Arial" w:cs="Arial"/>
          <w:b/>
          <w:sz w:val="22"/>
          <w:szCs w:val="22"/>
        </w:rPr>
      </w:pPr>
    </w:p>
    <w:p w:rsidR="00F34828" w:rsidRDefault="00F34828" w:rsidP="00811D72">
      <w:pPr>
        <w:autoSpaceDE w:val="0"/>
        <w:autoSpaceDN w:val="0"/>
        <w:adjustRightInd w:val="0"/>
        <w:ind w:right="-162"/>
        <w:jc w:val="both"/>
        <w:rPr>
          <w:rFonts w:ascii="Arial" w:hAnsi="Arial" w:cs="Arial"/>
          <w:b/>
          <w:sz w:val="22"/>
          <w:szCs w:val="22"/>
        </w:rPr>
      </w:pPr>
    </w:p>
    <w:p w:rsidR="00F34828" w:rsidRDefault="00F34828" w:rsidP="00811D72">
      <w:pPr>
        <w:autoSpaceDE w:val="0"/>
        <w:autoSpaceDN w:val="0"/>
        <w:adjustRightInd w:val="0"/>
        <w:ind w:right="-162"/>
        <w:jc w:val="both"/>
        <w:rPr>
          <w:rFonts w:ascii="Arial" w:hAnsi="Arial" w:cs="Arial"/>
          <w:b/>
          <w:sz w:val="22"/>
          <w:szCs w:val="22"/>
        </w:rPr>
      </w:pPr>
    </w:p>
    <w:p w:rsidR="00F34828" w:rsidRDefault="00F34828" w:rsidP="00811D72">
      <w:pPr>
        <w:autoSpaceDE w:val="0"/>
        <w:autoSpaceDN w:val="0"/>
        <w:adjustRightInd w:val="0"/>
        <w:ind w:right="-162"/>
        <w:jc w:val="both"/>
        <w:rPr>
          <w:rFonts w:ascii="Arial" w:hAnsi="Arial" w:cs="Arial"/>
          <w:b/>
          <w:sz w:val="22"/>
          <w:szCs w:val="22"/>
        </w:rPr>
      </w:pPr>
    </w:p>
    <w:p w:rsidR="00F34828" w:rsidRDefault="00F34828" w:rsidP="00811D72">
      <w:pPr>
        <w:autoSpaceDE w:val="0"/>
        <w:autoSpaceDN w:val="0"/>
        <w:adjustRightInd w:val="0"/>
        <w:ind w:right="-162"/>
        <w:jc w:val="both"/>
        <w:rPr>
          <w:rFonts w:ascii="Arial" w:hAnsi="Arial" w:cs="Arial"/>
          <w:b/>
          <w:sz w:val="22"/>
          <w:szCs w:val="22"/>
        </w:rPr>
      </w:pPr>
    </w:p>
    <w:tbl>
      <w:tblPr>
        <w:tblW w:w="7980" w:type="dxa"/>
        <w:tblInd w:w="52" w:type="dxa"/>
        <w:tblCellMar>
          <w:left w:w="70" w:type="dxa"/>
          <w:right w:w="70" w:type="dxa"/>
        </w:tblCellMar>
        <w:tblLook w:val="04A0" w:firstRow="1" w:lastRow="0" w:firstColumn="1" w:lastColumn="0" w:noHBand="0" w:noVBand="1"/>
      </w:tblPr>
      <w:tblGrid>
        <w:gridCol w:w="360"/>
        <w:gridCol w:w="6580"/>
        <w:gridCol w:w="760"/>
        <w:gridCol w:w="280"/>
      </w:tblGrid>
      <w:tr w:rsidR="00F34828" w:rsidRPr="00971F51" w:rsidTr="00774887">
        <w:trPr>
          <w:trHeight w:val="285"/>
        </w:trPr>
        <w:tc>
          <w:tcPr>
            <w:tcW w:w="36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658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76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28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r w:rsidR="00F34828" w:rsidRPr="00140A3E" w:rsidTr="00774887">
        <w:trPr>
          <w:trHeight w:val="300"/>
        </w:trPr>
        <w:tc>
          <w:tcPr>
            <w:tcW w:w="360" w:type="dxa"/>
            <w:tcBorders>
              <w:top w:val="nil"/>
              <w:left w:val="nil"/>
              <w:bottom w:val="nil"/>
              <w:right w:val="nil"/>
            </w:tcBorders>
            <w:shd w:val="clear" w:color="000000" w:fill="FFFFFF"/>
            <w:noWrap/>
            <w:vAlign w:val="bottom"/>
            <w:hideMark/>
          </w:tcPr>
          <w:p w:rsidR="00F34828" w:rsidRPr="00971F51" w:rsidRDefault="0012693D" w:rsidP="00774887">
            <w:pPr>
              <w:rPr>
                <w:rFonts w:ascii="Arial" w:hAnsi="Arial" w:cs="Arial"/>
                <w:color w:val="000000"/>
                <w:lang w:eastAsia="es-CL"/>
              </w:rPr>
            </w:pPr>
            <w:r>
              <w:br w:type="page"/>
            </w:r>
            <w:r w:rsidR="00F34828" w:rsidRPr="00971F51">
              <w:rPr>
                <w:rFonts w:ascii="Arial" w:hAnsi="Arial" w:cs="Arial"/>
                <w:color w:val="000000"/>
                <w:lang w:eastAsia="es-CL"/>
              </w:rPr>
              <w:t> </w:t>
            </w:r>
          </w:p>
        </w:tc>
        <w:tc>
          <w:tcPr>
            <w:tcW w:w="7340" w:type="dxa"/>
            <w:gridSpan w:val="2"/>
            <w:tcBorders>
              <w:top w:val="nil"/>
              <w:left w:val="nil"/>
              <w:bottom w:val="nil"/>
              <w:right w:val="nil"/>
            </w:tcBorders>
            <w:shd w:val="clear" w:color="000000" w:fill="FFFFFF"/>
            <w:noWrap/>
            <w:vAlign w:val="bottom"/>
            <w:hideMark/>
          </w:tcPr>
          <w:p w:rsidR="00F34828" w:rsidRPr="00AF4F17" w:rsidRDefault="00F34828" w:rsidP="00774887">
            <w:pPr>
              <w:jc w:val="center"/>
              <w:rPr>
                <w:rFonts w:ascii="Arial" w:hAnsi="Arial" w:cs="Arial"/>
                <w:b/>
                <w:bCs/>
                <w:color w:val="000000"/>
                <w:lang w:val="en-US" w:eastAsia="es-CL"/>
              </w:rPr>
            </w:pPr>
            <w:r w:rsidRPr="00AF4F17">
              <w:rPr>
                <w:rFonts w:ascii="Arial" w:hAnsi="Arial" w:cs="Arial"/>
                <w:b/>
                <w:bCs/>
                <w:color w:val="000000"/>
                <w:lang w:val="en-US" w:eastAsia="es-CL"/>
              </w:rPr>
              <w:t>ANEXO N° 1</w:t>
            </w:r>
            <w:r w:rsidR="00AF4F17" w:rsidRPr="00AF4F17">
              <w:rPr>
                <w:rFonts w:ascii="Arial" w:hAnsi="Arial" w:cs="Arial"/>
                <w:b/>
                <w:bCs/>
                <w:color w:val="000000"/>
                <w:lang w:val="en-US" w:eastAsia="es-CL"/>
              </w:rPr>
              <w:t xml:space="preserve"> TASAS LETRA b), INC. 3°, ART. 64 BIS.</w:t>
            </w:r>
          </w:p>
        </w:tc>
        <w:tc>
          <w:tcPr>
            <w:tcW w:w="280" w:type="dxa"/>
            <w:tcBorders>
              <w:top w:val="nil"/>
              <w:left w:val="nil"/>
              <w:bottom w:val="nil"/>
              <w:right w:val="nil"/>
            </w:tcBorders>
            <w:shd w:val="clear" w:color="000000" w:fill="FFFFFF"/>
            <w:noWrap/>
            <w:vAlign w:val="bottom"/>
            <w:hideMark/>
          </w:tcPr>
          <w:p w:rsidR="00F34828" w:rsidRPr="00AF4F17" w:rsidRDefault="00F34828" w:rsidP="00774887">
            <w:pPr>
              <w:rPr>
                <w:rFonts w:ascii="Arial" w:hAnsi="Arial" w:cs="Arial"/>
                <w:color w:val="000000"/>
                <w:lang w:val="en-US" w:eastAsia="es-CL"/>
              </w:rPr>
            </w:pPr>
            <w:r w:rsidRPr="00AF4F17">
              <w:rPr>
                <w:rFonts w:ascii="Arial" w:hAnsi="Arial" w:cs="Arial"/>
                <w:color w:val="000000"/>
                <w:lang w:val="en-US" w:eastAsia="es-CL"/>
              </w:rPr>
              <w:t> </w:t>
            </w:r>
          </w:p>
        </w:tc>
      </w:tr>
      <w:tr w:rsidR="00F34828" w:rsidRPr="00140A3E" w:rsidTr="00774887">
        <w:trPr>
          <w:trHeight w:val="300"/>
        </w:trPr>
        <w:tc>
          <w:tcPr>
            <w:tcW w:w="360" w:type="dxa"/>
            <w:tcBorders>
              <w:top w:val="nil"/>
              <w:left w:val="nil"/>
              <w:bottom w:val="nil"/>
              <w:right w:val="nil"/>
            </w:tcBorders>
            <w:shd w:val="clear" w:color="000000" w:fill="FFFFFF"/>
            <w:noWrap/>
            <w:vAlign w:val="bottom"/>
            <w:hideMark/>
          </w:tcPr>
          <w:p w:rsidR="00F34828" w:rsidRPr="00AF4F17" w:rsidRDefault="00F34828" w:rsidP="00774887">
            <w:pPr>
              <w:rPr>
                <w:rFonts w:ascii="Arial" w:hAnsi="Arial" w:cs="Arial"/>
                <w:color w:val="000000"/>
                <w:lang w:val="en-US" w:eastAsia="es-CL"/>
              </w:rPr>
            </w:pPr>
            <w:r w:rsidRPr="00AF4F17">
              <w:rPr>
                <w:rFonts w:ascii="Arial" w:hAnsi="Arial" w:cs="Arial"/>
                <w:color w:val="000000"/>
                <w:lang w:val="en-US" w:eastAsia="es-CL"/>
              </w:rPr>
              <w:t> </w:t>
            </w:r>
          </w:p>
        </w:tc>
        <w:tc>
          <w:tcPr>
            <w:tcW w:w="6580" w:type="dxa"/>
            <w:tcBorders>
              <w:top w:val="nil"/>
              <w:left w:val="nil"/>
              <w:bottom w:val="nil"/>
              <w:right w:val="nil"/>
            </w:tcBorders>
            <w:shd w:val="clear" w:color="000000" w:fill="FFFFFF"/>
            <w:noWrap/>
            <w:vAlign w:val="bottom"/>
            <w:hideMark/>
          </w:tcPr>
          <w:p w:rsidR="00F34828" w:rsidRPr="00AF4F17" w:rsidRDefault="00F34828" w:rsidP="00774887">
            <w:pPr>
              <w:rPr>
                <w:rFonts w:ascii="Arial" w:hAnsi="Arial" w:cs="Arial"/>
                <w:color w:val="000000"/>
                <w:lang w:val="en-US" w:eastAsia="es-CL"/>
              </w:rPr>
            </w:pPr>
            <w:r w:rsidRPr="00AF4F17">
              <w:rPr>
                <w:rFonts w:ascii="Arial" w:hAnsi="Arial" w:cs="Arial"/>
                <w:color w:val="000000"/>
                <w:lang w:val="en-US" w:eastAsia="es-CL"/>
              </w:rPr>
              <w:t> </w:t>
            </w:r>
          </w:p>
        </w:tc>
        <w:tc>
          <w:tcPr>
            <w:tcW w:w="760" w:type="dxa"/>
            <w:tcBorders>
              <w:top w:val="nil"/>
              <w:left w:val="nil"/>
              <w:bottom w:val="nil"/>
              <w:right w:val="nil"/>
            </w:tcBorders>
            <w:shd w:val="clear" w:color="000000" w:fill="FFFFFF"/>
            <w:noWrap/>
            <w:vAlign w:val="bottom"/>
            <w:hideMark/>
          </w:tcPr>
          <w:p w:rsidR="00F34828" w:rsidRPr="00AF4F17" w:rsidRDefault="00F34828" w:rsidP="00774887">
            <w:pPr>
              <w:rPr>
                <w:rFonts w:ascii="Arial" w:hAnsi="Arial" w:cs="Arial"/>
                <w:color w:val="000000"/>
                <w:lang w:val="en-US" w:eastAsia="es-CL"/>
              </w:rPr>
            </w:pPr>
            <w:r w:rsidRPr="00AF4F17">
              <w:rPr>
                <w:rFonts w:ascii="Arial" w:hAnsi="Arial" w:cs="Arial"/>
                <w:color w:val="000000"/>
                <w:lang w:val="en-US" w:eastAsia="es-CL"/>
              </w:rPr>
              <w:t> </w:t>
            </w:r>
          </w:p>
        </w:tc>
        <w:tc>
          <w:tcPr>
            <w:tcW w:w="280" w:type="dxa"/>
            <w:tcBorders>
              <w:top w:val="nil"/>
              <w:left w:val="nil"/>
              <w:bottom w:val="nil"/>
              <w:right w:val="nil"/>
            </w:tcBorders>
            <w:shd w:val="clear" w:color="000000" w:fill="FFFFFF"/>
            <w:noWrap/>
            <w:vAlign w:val="bottom"/>
            <w:hideMark/>
          </w:tcPr>
          <w:p w:rsidR="00F34828" w:rsidRPr="00AF4F17" w:rsidRDefault="00F34828" w:rsidP="00774887">
            <w:pPr>
              <w:rPr>
                <w:rFonts w:ascii="Arial" w:hAnsi="Arial" w:cs="Arial"/>
                <w:color w:val="000000"/>
                <w:lang w:val="en-US" w:eastAsia="es-CL"/>
              </w:rPr>
            </w:pPr>
            <w:r w:rsidRPr="00AF4F17">
              <w:rPr>
                <w:rFonts w:ascii="Arial" w:hAnsi="Arial" w:cs="Arial"/>
                <w:color w:val="000000"/>
                <w:lang w:val="en-US" w:eastAsia="es-CL"/>
              </w:rPr>
              <w:t> </w:t>
            </w:r>
          </w:p>
        </w:tc>
      </w:tr>
      <w:tr w:rsidR="00F34828" w:rsidRPr="00971F51" w:rsidTr="00774887">
        <w:trPr>
          <w:trHeight w:val="1455"/>
        </w:trPr>
        <w:tc>
          <w:tcPr>
            <w:tcW w:w="360" w:type="dxa"/>
            <w:tcBorders>
              <w:top w:val="nil"/>
              <w:left w:val="nil"/>
              <w:bottom w:val="nil"/>
              <w:right w:val="nil"/>
            </w:tcBorders>
            <w:shd w:val="clear" w:color="000000" w:fill="FFFFFF"/>
            <w:noWrap/>
            <w:vAlign w:val="bottom"/>
            <w:hideMark/>
          </w:tcPr>
          <w:p w:rsidR="00F34828" w:rsidRPr="00AF4F17" w:rsidRDefault="00F34828" w:rsidP="00774887">
            <w:pPr>
              <w:rPr>
                <w:rFonts w:ascii="Arial" w:hAnsi="Arial" w:cs="Arial"/>
                <w:color w:val="000000"/>
                <w:lang w:val="en-US" w:eastAsia="es-CL"/>
              </w:rPr>
            </w:pPr>
            <w:r w:rsidRPr="00AF4F17">
              <w:rPr>
                <w:rFonts w:ascii="Arial" w:hAnsi="Arial" w:cs="Arial"/>
                <w:color w:val="000000"/>
                <w:lang w:val="en-US" w:eastAsia="es-CL"/>
              </w:rPr>
              <w:t> </w:t>
            </w:r>
          </w:p>
        </w:tc>
        <w:tc>
          <w:tcPr>
            <w:tcW w:w="7340" w:type="dxa"/>
            <w:gridSpan w:val="2"/>
            <w:tcBorders>
              <w:top w:val="single" w:sz="8" w:space="0" w:color="auto"/>
              <w:left w:val="single" w:sz="8" w:space="0" w:color="auto"/>
              <w:bottom w:val="single" w:sz="4" w:space="0" w:color="000000"/>
              <w:right w:val="single" w:sz="8" w:space="0" w:color="000000"/>
            </w:tcBorders>
            <w:shd w:val="clear" w:color="000000" w:fill="FFFFFF"/>
            <w:hideMark/>
          </w:tcPr>
          <w:p w:rsidR="00F34828" w:rsidRPr="00971F51" w:rsidRDefault="0055225C" w:rsidP="0055225C">
            <w:pPr>
              <w:jc w:val="both"/>
              <w:rPr>
                <w:rFonts w:ascii="Arial" w:hAnsi="Arial" w:cs="Arial"/>
                <w:color w:val="000000"/>
                <w:lang w:eastAsia="es-CL"/>
              </w:rPr>
            </w:pPr>
            <w:r>
              <w:rPr>
                <w:rFonts w:ascii="Arial" w:hAnsi="Arial" w:cs="Arial"/>
                <w:color w:val="000000"/>
                <w:lang w:eastAsia="es-CL"/>
              </w:rPr>
              <w:t xml:space="preserve">A los </w:t>
            </w:r>
            <w:r w:rsidR="00F34828" w:rsidRPr="00971F51">
              <w:rPr>
                <w:rFonts w:ascii="Arial" w:hAnsi="Arial" w:cs="Arial"/>
                <w:color w:val="000000"/>
                <w:lang w:eastAsia="es-CL"/>
              </w:rPr>
              <w:t>E</w:t>
            </w:r>
            <w:r w:rsidR="004B56C0">
              <w:rPr>
                <w:rFonts w:ascii="Arial" w:hAnsi="Arial" w:cs="Arial"/>
                <w:color w:val="000000"/>
                <w:lang w:eastAsia="es-CL"/>
              </w:rPr>
              <w:t>M</w:t>
            </w:r>
            <w:r w:rsidR="00F34828" w:rsidRPr="00971F51">
              <w:rPr>
                <w:rFonts w:ascii="Arial" w:hAnsi="Arial" w:cs="Arial"/>
                <w:color w:val="000000"/>
                <w:lang w:eastAsia="es-CL"/>
              </w:rPr>
              <w:t xml:space="preserve"> cuyas ventas anuales</w:t>
            </w:r>
            <w:r>
              <w:rPr>
                <w:rFonts w:ascii="Arial" w:hAnsi="Arial" w:cs="Arial"/>
                <w:color w:val="000000"/>
                <w:lang w:eastAsia="es-CL"/>
              </w:rPr>
              <w:t xml:space="preserve"> determinadas</w:t>
            </w:r>
            <w:r w:rsidR="00F34828" w:rsidRPr="00971F51">
              <w:rPr>
                <w:rFonts w:ascii="Arial" w:hAnsi="Arial" w:cs="Arial"/>
                <w:color w:val="000000"/>
                <w:lang w:eastAsia="es-CL"/>
              </w:rPr>
              <w:t xml:space="preserve"> conforme a la letra d) del </w:t>
            </w:r>
            <w:r w:rsidR="004B56C0">
              <w:rPr>
                <w:rFonts w:ascii="Arial" w:hAnsi="Arial" w:cs="Arial"/>
                <w:color w:val="000000"/>
                <w:lang w:eastAsia="es-CL"/>
              </w:rPr>
              <w:t>inciso 3</w:t>
            </w:r>
            <w:r w:rsidR="00F34828" w:rsidRPr="00971F51">
              <w:rPr>
                <w:rFonts w:ascii="Arial" w:hAnsi="Arial" w:cs="Arial"/>
                <w:color w:val="000000"/>
                <w:lang w:eastAsia="es-CL"/>
              </w:rPr>
              <w:t xml:space="preserve">° del Art. 64 bis de la LIR, sean iguales o inferiores al valor equivalente a 50.000 </w:t>
            </w:r>
            <w:r w:rsidR="004B56C0">
              <w:rPr>
                <w:rFonts w:ascii="Arial" w:hAnsi="Arial" w:cs="Arial"/>
                <w:color w:val="000000"/>
                <w:lang w:eastAsia="es-CL"/>
              </w:rPr>
              <w:t>TMCF</w:t>
            </w:r>
            <w:r w:rsidR="00F34828" w:rsidRPr="00971F51">
              <w:rPr>
                <w:rFonts w:ascii="Arial" w:hAnsi="Arial" w:cs="Arial"/>
                <w:color w:val="000000"/>
                <w:lang w:eastAsia="es-CL"/>
              </w:rPr>
              <w:t xml:space="preserve"> y superiores al valor equivalente a 12.000 </w:t>
            </w:r>
            <w:r w:rsidR="004B56C0">
              <w:rPr>
                <w:rFonts w:ascii="Arial" w:hAnsi="Arial" w:cs="Arial"/>
                <w:color w:val="000000"/>
                <w:lang w:eastAsia="es-CL"/>
              </w:rPr>
              <w:t>TMCF</w:t>
            </w:r>
            <w:r w:rsidR="00F34828" w:rsidRPr="00971F51">
              <w:rPr>
                <w:rFonts w:ascii="Arial" w:hAnsi="Arial" w:cs="Arial"/>
                <w:color w:val="000000"/>
                <w:lang w:eastAsia="es-CL"/>
              </w:rPr>
              <w:t xml:space="preserve">, se les aplicará una tasa equivalente al promedio por tonelada </w:t>
            </w:r>
            <w:r>
              <w:rPr>
                <w:rFonts w:ascii="Arial" w:hAnsi="Arial" w:cs="Arial"/>
                <w:color w:val="000000"/>
                <w:lang w:eastAsia="es-CL"/>
              </w:rPr>
              <w:t xml:space="preserve">de acuerdo a la </w:t>
            </w:r>
            <w:r w:rsidR="00F34828" w:rsidRPr="00971F51">
              <w:rPr>
                <w:rFonts w:ascii="Arial" w:hAnsi="Arial" w:cs="Arial"/>
                <w:color w:val="000000"/>
                <w:lang w:eastAsia="es-CL"/>
              </w:rPr>
              <w:t>siguiente</w:t>
            </w:r>
            <w:r>
              <w:rPr>
                <w:rFonts w:ascii="Arial" w:hAnsi="Arial" w:cs="Arial"/>
                <w:color w:val="000000"/>
                <w:lang w:eastAsia="es-CL"/>
              </w:rPr>
              <w:t xml:space="preserve"> Tabla</w:t>
            </w:r>
            <w:r w:rsidR="00F34828" w:rsidRPr="00971F51">
              <w:rPr>
                <w:rFonts w:ascii="Arial" w:hAnsi="Arial" w:cs="Arial"/>
                <w:color w:val="000000"/>
                <w:lang w:eastAsia="es-CL"/>
              </w:rPr>
              <w:t xml:space="preserve">: </w:t>
            </w:r>
          </w:p>
        </w:tc>
        <w:tc>
          <w:tcPr>
            <w:tcW w:w="28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r w:rsidR="00F34828" w:rsidRPr="00971F51" w:rsidTr="00774887">
        <w:trPr>
          <w:trHeight w:val="615"/>
        </w:trPr>
        <w:tc>
          <w:tcPr>
            <w:tcW w:w="36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6580" w:type="dxa"/>
            <w:tcBorders>
              <w:top w:val="single" w:sz="8" w:space="0" w:color="auto"/>
              <w:left w:val="single" w:sz="8" w:space="0" w:color="auto"/>
              <w:bottom w:val="single" w:sz="8" w:space="0" w:color="auto"/>
              <w:right w:val="single" w:sz="8" w:space="0" w:color="auto"/>
            </w:tcBorders>
            <w:shd w:val="clear" w:color="000000" w:fill="BFBFBF"/>
            <w:hideMark/>
          </w:tcPr>
          <w:p w:rsidR="00F34828" w:rsidRPr="00971F51" w:rsidRDefault="00F34828" w:rsidP="00D27CDF">
            <w:pPr>
              <w:jc w:val="center"/>
              <w:rPr>
                <w:rFonts w:ascii="Arial" w:hAnsi="Arial" w:cs="Arial"/>
                <w:b/>
                <w:bCs/>
                <w:color w:val="000000"/>
                <w:lang w:eastAsia="es-CL"/>
              </w:rPr>
            </w:pPr>
            <w:r w:rsidRPr="00971F51">
              <w:rPr>
                <w:rFonts w:ascii="Arial" w:hAnsi="Arial" w:cs="Arial"/>
                <w:b/>
                <w:bCs/>
                <w:color w:val="000000"/>
                <w:lang w:eastAsia="es-CL"/>
              </w:rPr>
              <w:t>TRAMOS CORRESPONDIENTES AL MONTO DE VENTAS ANUALES EN TMCF</w:t>
            </w:r>
          </w:p>
        </w:tc>
        <w:tc>
          <w:tcPr>
            <w:tcW w:w="760" w:type="dxa"/>
            <w:tcBorders>
              <w:top w:val="single" w:sz="8" w:space="0" w:color="auto"/>
              <w:left w:val="nil"/>
              <w:bottom w:val="single" w:sz="8" w:space="0" w:color="auto"/>
              <w:right w:val="single" w:sz="8" w:space="0" w:color="auto"/>
            </w:tcBorders>
            <w:shd w:val="clear" w:color="000000" w:fill="BFBFBF"/>
            <w:hideMark/>
          </w:tcPr>
          <w:p w:rsidR="00F34828" w:rsidRPr="00971F51" w:rsidRDefault="00F34828" w:rsidP="00774887">
            <w:pPr>
              <w:jc w:val="center"/>
              <w:rPr>
                <w:rFonts w:ascii="Arial" w:hAnsi="Arial" w:cs="Arial"/>
                <w:b/>
                <w:bCs/>
                <w:color w:val="000000"/>
                <w:lang w:eastAsia="es-CL"/>
              </w:rPr>
            </w:pPr>
            <w:r w:rsidRPr="00971F51">
              <w:rPr>
                <w:rFonts w:ascii="Arial" w:hAnsi="Arial" w:cs="Arial"/>
                <w:b/>
                <w:bCs/>
                <w:color w:val="000000"/>
                <w:lang w:eastAsia="es-CL"/>
              </w:rPr>
              <w:t xml:space="preserve">TASA  </w:t>
            </w:r>
          </w:p>
        </w:tc>
        <w:tc>
          <w:tcPr>
            <w:tcW w:w="28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r w:rsidR="00F34828" w:rsidRPr="00971F51" w:rsidTr="00774887">
        <w:trPr>
          <w:trHeight w:val="930"/>
        </w:trPr>
        <w:tc>
          <w:tcPr>
            <w:tcW w:w="36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6580" w:type="dxa"/>
            <w:tcBorders>
              <w:top w:val="nil"/>
              <w:left w:val="single" w:sz="8" w:space="0" w:color="auto"/>
              <w:bottom w:val="nil"/>
              <w:right w:val="single" w:sz="8" w:space="0" w:color="auto"/>
            </w:tcBorders>
            <w:shd w:val="clear" w:color="000000" w:fill="FFFFFF"/>
            <w:hideMark/>
          </w:tcPr>
          <w:p w:rsidR="00F34828" w:rsidRPr="00971F51" w:rsidRDefault="00F34828" w:rsidP="00D27CDF">
            <w:pPr>
              <w:jc w:val="both"/>
              <w:rPr>
                <w:rFonts w:ascii="Arial" w:hAnsi="Arial" w:cs="Arial"/>
                <w:color w:val="000000"/>
                <w:lang w:eastAsia="es-CL"/>
              </w:rPr>
            </w:pPr>
            <w:r w:rsidRPr="00971F51">
              <w:rPr>
                <w:rFonts w:ascii="Arial" w:hAnsi="Arial" w:cs="Arial"/>
                <w:color w:val="000000"/>
                <w:lang w:eastAsia="es-CL"/>
              </w:rPr>
              <w:t xml:space="preserve">Sobre la parte que exceda al valor equivalente a 12.000 </w:t>
            </w:r>
            <w:r w:rsidR="00D27CDF">
              <w:rPr>
                <w:rFonts w:ascii="Arial" w:hAnsi="Arial" w:cs="Arial"/>
                <w:color w:val="000000"/>
                <w:lang w:eastAsia="es-CL"/>
              </w:rPr>
              <w:t>TMCF</w:t>
            </w:r>
            <w:r w:rsidRPr="00971F51">
              <w:rPr>
                <w:rFonts w:ascii="Arial" w:hAnsi="Arial" w:cs="Arial"/>
                <w:color w:val="000000"/>
                <w:lang w:eastAsia="es-CL"/>
              </w:rPr>
              <w:t xml:space="preserve"> y no sobrepase el equivalente a 15.000 </w:t>
            </w:r>
            <w:r w:rsidR="00D27CDF">
              <w:rPr>
                <w:rFonts w:ascii="Arial" w:hAnsi="Arial" w:cs="Arial"/>
                <w:color w:val="000000"/>
                <w:lang w:eastAsia="es-CL"/>
              </w:rPr>
              <w:t>TMCF</w:t>
            </w:r>
            <w:r w:rsidRPr="00971F51">
              <w:rPr>
                <w:rFonts w:ascii="Arial" w:hAnsi="Arial" w:cs="Arial"/>
                <w:color w:val="000000"/>
                <w:lang w:eastAsia="es-CL"/>
              </w:rPr>
              <w:t xml:space="preserve">. </w:t>
            </w:r>
          </w:p>
        </w:tc>
        <w:tc>
          <w:tcPr>
            <w:tcW w:w="760" w:type="dxa"/>
            <w:tcBorders>
              <w:top w:val="nil"/>
              <w:left w:val="nil"/>
              <w:bottom w:val="nil"/>
              <w:right w:val="single" w:sz="8" w:space="0" w:color="auto"/>
            </w:tcBorders>
            <w:shd w:val="clear" w:color="000000" w:fill="FFFFFF"/>
            <w:vAlign w:val="center"/>
            <w:hideMark/>
          </w:tcPr>
          <w:p w:rsidR="00F34828" w:rsidRPr="00971F51" w:rsidRDefault="00F34828" w:rsidP="00774887">
            <w:pPr>
              <w:jc w:val="center"/>
              <w:rPr>
                <w:rFonts w:ascii="Arial" w:hAnsi="Arial" w:cs="Arial"/>
                <w:color w:val="000000"/>
                <w:lang w:eastAsia="es-CL"/>
              </w:rPr>
            </w:pPr>
            <w:r w:rsidRPr="00971F51">
              <w:rPr>
                <w:rFonts w:ascii="Arial" w:hAnsi="Arial" w:cs="Arial"/>
                <w:color w:val="000000"/>
                <w:lang w:eastAsia="es-CL"/>
              </w:rPr>
              <w:t>0,5%</w:t>
            </w:r>
          </w:p>
        </w:tc>
        <w:tc>
          <w:tcPr>
            <w:tcW w:w="28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r w:rsidR="00F34828" w:rsidRPr="00971F51" w:rsidTr="00774887">
        <w:trPr>
          <w:trHeight w:val="900"/>
        </w:trPr>
        <w:tc>
          <w:tcPr>
            <w:tcW w:w="36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6580" w:type="dxa"/>
            <w:tcBorders>
              <w:top w:val="single" w:sz="8" w:space="0" w:color="auto"/>
              <w:left w:val="single" w:sz="8" w:space="0" w:color="auto"/>
              <w:bottom w:val="nil"/>
              <w:right w:val="single" w:sz="8" w:space="0" w:color="auto"/>
            </w:tcBorders>
            <w:shd w:val="clear" w:color="000000" w:fill="FFFFFF"/>
            <w:hideMark/>
          </w:tcPr>
          <w:p w:rsidR="00F34828" w:rsidRPr="00971F51" w:rsidRDefault="00F34828" w:rsidP="00774887">
            <w:pPr>
              <w:jc w:val="both"/>
              <w:rPr>
                <w:rFonts w:ascii="Arial" w:hAnsi="Arial" w:cs="Arial"/>
                <w:color w:val="000000"/>
                <w:lang w:eastAsia="es-CL"/>
              </w:rPr>
            </w:pPr>
            <w:r w:rsidRPr="00971F51">
              <w:rPr>
                <w:rFonts w:ascii="Arial" w:hAnsi="Arial" w:cs="Arial"/>
                <w:color w:val="000000"/>
                <w:lang w:eastAsia="es-CL"/>
              </w:rPr>
              <w:t xml:space="preserve">Sobre la parte que exceda al valor equivalente a 15.000 </w:t>
            </w:r>
            <w:r w:rsidR="00D27CDF">
              <w:rPr>
                <w:rFonts w:ascii="Arial" w:hAnsi="Arial" w:cs="Arial"/>
                <w:color w:val="000000"/>
                <w:lang w:eastAsia="es-CL"/>
              </w:rPr>
              <w:t>TMCF</w:t>
            </w:r>
            <w:r w:rsidRPr="00971F51">
              <w:rPr>
                <w:rFonts w:ascii="Arial" w:hAnsi="Arial" w:cs="Arial"/>
                <w:color w:val="000000"/>
                <w:lang w:eastAsia="es-CL"/>
              </w:rPr>
              <w:t xml:space="preserve"> y no sobrepase el equivalente a 20.000 </w:t>
            </w:r>
            <w:r w:rsidR="00D27CDF">
              <w:rPr>
                <w:rFonts w:ascii="Arial" w:hAnsi="Arial" w:cs="Arial"/>
                <w:color w:val="000000"/>
                <w:lang w:eastAsia="es-CL"/>
              </w:rPr>
              <w:t>TMCF</w:t>
            </w:r>
            <w:r w:rsidRPr="00971F51">
              <w:rPr>
                <w:rFonts w:ascii="Arial" w:hAnsi="Arial" w:cs="Arial"/>
                <w:color w:val="000000"/>
                <w:lang w:eastAsia="es-CL"/>
              </w:rPr>
              <w:t>.</w:t>
            </w:r>
          </w:p>
        </w:tc>
        <w:tc>
          <w:tcPr>
            <w:tcW w:w="760" w:type="dxa"/>
            <w:tcBorders>
              <w:top w:val="single" w:sz="8" w:space="0" w:color="auto"/>
              <w:left w:val="nil"/>
              <w:bottom w:val="nil"/>
              <w:right w:val="single" w:sz="8" w:space="0" w:color="auto"/>
            </w:tcBorders>
            <w:shd w:val="clear" w:color="000000" w:fill="FFFFFF"/>
            <w:vAlign w:val="center"/>
            <w:hideMark/>
          </w:tcPr>
          <w:p w:rsidR="00F34828" w:rsidRPr="00971F51" w:rsidRDefault="00F34828" w:rsidP="00774887">
            <w:pPr>
              <w:jc w:val="center"/>
              <w:rPr>
                <w:rFonts w:ascii="Arial" w:hAnsi="Arial" w:cs="Arial"/>
                <w:color w:val="000000"/>
                <w:lang w:eastAsia="es-CL"/>
              </w:rPr>
            </w:pPr>
            <w:r w:rsidRPr="00971F51">
              <w:rPr>
                <w:rFonts w:ascii="Arial" w:hAnsi="Arial" w:cs="Arial"/>
                <w:color w:val="000000"/>
                <w:lang w:eastAsia="es-CL"/>
              </w:rPr>
              <w:t>1,0%</w:t>
            </w:r>
          </w:p>
        </w:tc>
        <w:tc>
          <w:tcPr>
            <w:tcW w:w="28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r w:rsidR="00F34828" w:rsidRPr="00971F51" w:rsidTr="00774887">
        <w:trPr>
          <w:trHeight w:val="975"/>
        </w:trPr>
        <w:tc>
          <w:tcPr>
            <w:tcW w:w="36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6580" w:type="dxa"/>
            <w:tcBorders>
              <w:top w:val="single" w:sz="8" w:space="0" w:color="auto"/>
              <w:left w:val="single" w:sz="8" w:space="0" w:color="auto"/>
              <w:bottom w:val="nil"/>
              <w:right w:val="single" w:sz="8" w:space="0" w:color="auto"/>
            </w:tcBorders>
            <w:shd w:val="clear" w:color="000000" w:fill="FFFFFF"/>
            <w:hideMark/>
          </w:tcPr>
          <w:p w:rsidR="00F34828" w:rsidRPr="00971F51" w:rsidRDefault="00F34828" w:rsidP="00774887">
            <w:pPr>
              <w:jc w:val="both"/>
              <w:rPr>
                <w:rFonts w:ascii="Arial" w:hAnsi="Arial" w:cs="Arial"/>
                <w:color w:val="000000"/>
                <w:lang w:eastAsia="es-CL"/>
              </w:rPr>
            </w:pPr>
            <w:r w:rsidRPr="00971F51">
              <w:rPr>
                <w:rFonts w:ascii="Arial" w:hAnsi="Arial" w:cs="Arial"/>
                <w:color w:val="000000"/>
                <w:lang w:eastAsia="es-CL"/>
              </w:rPr>
              <w:t xml:space="preserve">Sobre la parte que exceda al valor equivalente a 20.000 </w:t>
            </w:r>
            <w:r w:rsidR="00D27CDF">
              <w:rPr>
                <w:rFonts w:ascii="Arial" w:hAnsi="Arial" w:cs="Arial"/>
                <w:color w:val="000000"/>
                <w:lang w:eastAsia="es-CL"/>
              </w:rPr>
              <w:t>TMCF</w:t>
            </w:r>
            <w:r w:rsidRPr="00971F51">
              <w:rPr>
                <w:rFonts w:ascii="Arial" w:hAnsi="Arial" w:cs="Arial"/>
                <w:color w:val="000000"/>
                <w:lang w:eastAsia="es-CL"/>
              </w:rPr>
              <w:t xml:space="preserve"> y no sobrepase el equivalente a 25.000 </w:t>
            </w:r>
            <w:r w:rsidR="00D27CDF">
              <w:rPr>
                <w:rFonts w:ascii="Arial" w:hAnsi="Arial" w:cs="Arial"/>
                <w:color w:val="000000"/>
                <w:lang w:eastAsia="es-CL"/>
              </w:rPr>
              <w:t>TMCF</w:t>
            </w:r>
            <w:r w:rsidRPr="00971F51">
              <w:rPr>
                <w:rFonts w:ascii="Arial" w:hAnsi="Arial" w:cs="Arial"/>
                <w:color w:val="000000"/>
                <w:lang w:eastAsia="es-CL"/>
              </w:rPr>
              <w:t>.</w:t>
            </w:r>
          </w:p>
        </w:tc>
        <w:tc>
          <w:tcPr>
            <w:tcW w:w="760" w:type="dxa"/>
            <w:tcBorders>
              <w:top w:val="single" w:sz="8" w:space="0" w:color="auto"/>
              <w:left w:val="nil"/>
              <w:bottom w:val="nil"/>
              <w:right w:val="single" w:sz="8" w:space="0" w:color="auto"/>
            </w:tcBorders>
            <w:shd w:val="clear" w:color="000000" w:fill="FFFFFF"/>
            <w:vAlign w:val="center"/>
            <w:hideMark/>
          </w:tcPr>
          <w:p w:rsidR="00F34828" w:rsidRPr="00971F51" w:rsidRDefault="00F34828" w:rsidP="00774887">
            <w:pPr>
              <w:jc w:val="center"/>
              <w:rPr>
                <w:rFonts w:ascii="Arial" w:hAnsi="Arial" w:cs="Arial"/>
                <w:color w:val="000000"/>
                <w:lang w:eastAsia="es-CL"/>
              </w:rPr>
            </w:pPr>
            <w:r w:rsidRPr="00971F51">
              <w:rPr>
                <w:rFonts w:ascii="Arial" w:hAnsi="Arial" w:cs="Arial"/>
                <w:color w:val="000000"/>
                <w:lang w:eastAsia="es-CL"/>
              </w:rPr>
              <w:t>1,5%</w:t>
            </w:r>
          </w:p>
        </w:tc>
        <w:tc>
          <w:tcPr>
            <w:tcW w:w="28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r w:rsidR="00F34828" w:rsidRPr="00971F51" w:rsidTr="00774887">
        <w:trPr>
          <w:trHeight w:val="930"/>
        </w:trPr>
        <w:tc>
          <w:tcPr>
            <w:tcW w:w="36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6580" w:type="dxa"/>
            <w:tcBorders>
              <w:top w:val="single" w:sz="8" w:space="0" w:color="auto"/>
              <w:left w:val="single" w:sz="8" w:space="0" w:color="auto"/>
              <w:bottom w:val="nil"/>
              <w:right w:val="single" w:sz="8" w:space="0" w:color="auto"/>
            </w:tcBorders>
            <w:shd w:val="clear" w:color="000000" w:fill="FFFFFF"/>
            <w:hideMark/>
          </w:tcPr>
          <w:p w:rsidR="00F34828" w:rsidRPr="00971F51" w:rsidRDefault="00F34828" w:rsidP="00774887">
            <w:pPr>
              <w:jc w:val="both"/>
              <w:rPr>
                <w:rFonts w:ascii="Arial" w:hAnsi="Arial" w:cs="Arial"/>
                <w:color w:val="000000"/>
                <w:lang w:eastAsia="es-CL"/>
              </w:rPr>
            </w:pPr>
            <w:r w:rsidRPr="00971F51">
              <w:rPr>
                <w:rFonts w:ascii="Arial" w:hAnsi="Arial" w:cs="Arial"/>
                <w:color w:val="000000"/>
                <w:lang w:eastAsia="es-CL"/>
              </w:rPr>
              <w:t xml:space="preserve">Sobre la parte que exceda al valor equivalente a 25.000 </w:t>
            </w:r>
            <w:r w:rsidR="00D27CDF">
              <w:rPr>
                <w:rFonts w:ascii="Arial" w:hAnsi="Arial" w:cs="Arial"/>
                <w:color w:val="000000"/>
                <w:lang w:eastAsia="es-CL"/>
              </w:rPr>
              <w:t>TMCF</w:t>
            </w:r>
            <w:r w:rsidRPr="00971F51">
              <w:rPr>
                <w:rFonts w:ascii="Arial" w:hAnsi="Arial" w:cs="Arial"/>
                <w:color w:val="000000"/>
                <w:lang w:eastAsia="es-CL"/>
              </w:rPr>
              <w:t xml:space="preserve"> y no sobrepase el equivalente a 30.000 </w:t>
            </w:r>
            <w:r w:rsidR="00D27CDF">
              <w:rPr>
                <w:rFonts w:ascii="Arial" w:hAnsi="Arial" w:cs="Arial"/>
                <w:color w:val="000000"/>
                <w:lang w:eastAsia="es-CL"/>
              </w:rPr>
              <w:t>TMCF</w:t>
            </w:r>
            <w:r w:rsidRPr="00971F51">
              <w:rPr>
                <w:rFonts w:ascii="Arial" w:hAnsi="Arial" w:cs="Arial"/>
                <w:color w:val="000000"/>
                <w:lang w:eastAsia="es-CL"/>
              </w:rPr>
              <w:t>.</w:t>
            </w:r>
          </w:p>
        </w:tc>
        <w:tc>
          <w:tcPr>
            <w:tcW w:w="760" w:type="dxa"/>
            <w:tcBorders>
              <w:top w:val="single" w:sz="8" w:space="0" w:color="auto"/>
              <w:left w:val="nil"/>
              <w:bottom w:val="nil"/>
              <w:right w:val="single" w:sz="8" w:space="0" w:color="auto"/>
            </w:tcBorders>
            <w:shd w:val="clear" w:color="000000" w:fill="FFFFFF"/>
            <w:vAlign w:val="center"/>
            <w:hideMark/>
          </w:tcPr>
          <w:p w:rsidR="00F34828" w:rsidRPr="00971F51" w:rsidRDefault="00F34828" w:rsidP="00774887">
            <w:pPr>
              <w:jc w:val="center"/>
              <w:rPr>
                <w:rFonts w:ascii="Arial" w:hAnsi="Arial" w:cs="Arial"/>
                <w:color w:val="000000"/>
                <w:lang w:eastAsia="es-CL"/>
              </w:rPr>
            </w:pPr>
            <w:r w:rsidRPr="00971F51">
              <w:rPr>
                <w:rFonts w:ascii="Arial" w:hAnsi="Arial" w:cs="Arial"/>
                <w:color w:val="000000"/>
                <w:lang w:eastAsia="es-CL"/>
              </w:rPr>
              <w:t>2,0%</w:t>
            </w:r>
          </w:p>
        </w:tc>
        <w:tc>
          <w:tcPr>
            <w:tcW w:w="28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r w:rsidR="00F34828" w:rsidRPr="00971F51" w:rsidTr="00774887">
        <w:trPr>
          <w:trHeight w:val="930"/>
        </w:trPr>
        <w:tc>
          <w:tcPr>
            <w:tcW w:w="36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6580" w:type="dxa"/>
            <w:tcBorders>
              <w:top w:val="single" w:sz="8" w:space="0" w:color="auto"/>
              <w:left w:val="single" w:sz="8" w:space="0" w:color="auto"/>
              <w:bottom w:val="nil"/>
              <w:right w:val="single" w:sz="8" w:space="0" w:color="auto"/>
            </w:tcBorders>
            <w:shd w:val="clear" w:color="000000" w:fill="FFFFFF"/>
            <w:hideMark/>
          </w:tcPr>
          <w:p w:rsidR="00F34828" w:rsidRPr="00971F51" w:rsidRDefault="00F34828" w:rsidP="00774887">
            <w:pPr>
              <w:jc w:val="both"/>
              <w:rPr>
                <w:rFonts w:ascii="Arial" w:hAnsi="Arial" w:cs="Arial"/>
                <w:color w:val="000000"/>
                <w:lang w:eastAsia="es-CL"/>
              </w:rPr>
            </w:pPr>
            <w:r w:rsidRPr="00971F51">
              <w:rPr>
                <w:rFonts w:ascii="Arial" w:hAnsi="Arial" w:cs="Arial"/>
                <w:color w:val="000000"/>
                <w:lang w:eastAsia="es-CL"/>
              </w:rPr>
              <w:t xml:space="preserve">Sobre la parte que exceda al valor equivalente a 30.000 </w:t>
            </w:r>
            <w:r w:rsidR="00D27CDF">
              <w:rPr>
                <w:rFonts w:ascii="Arial" w:hAnsi="Arial" w:cs="Arial"/>
                <w:color w:val="000000"/>
                <w:lang w:eastAsia="es-CL"/>
              </w:rPr>
              <w:t>TMCF</w:t>
            </w:r>
            <w:r w:rsidRPr="00971F51">
              <w:rPr>
                <w:rFonts w:ascii="Arial" w:hAnsi="Arial" w:cs="Arial"/>
                <w:color w:val="000000"/>
                <w:lang w:eastAsia="es-CL"/>
              </w:rPr>
              <w:t xml:space="preserve"> y no sobrepase el equivalente a 35.000 </w:t>
            </w:r>
            <w:r w:rsidR="00D27CDF">
              <w:rPr>
                <w:rFonts w:ascii="Arial" w:hAnsi="Arial" w:cs="Arial"/>
                <w:color w:val="000000"/>
                <w:lang w:eastAsia="es-CL"/>
              </w:rPr>
              <w:t>TMCF</w:t>
            </w:r>
            <w:r w:rsidRPr="00971F51">
              <w:rPr>
                <w:rFonts w:ascii="Arial" w:hAnsi="Arial" w:cs="Arial"/>
                <w:color w:val="000000"/>
                <w:lang w:eastAsia="es-CL"/>
              </w:rPr>
              <w:t>.</w:t>
            </w:r>
          </w:p>
        </w:tc>
        <w:tc>
          <w:tcPr>
            <w:tcW w:w="760" w:type="dxa"/>
            <w:tcBorders>
              <w:top w:val="single" w:sz="8" w:space="0" w:color="auto"/>
              <w:left w:val="nil"/>
              <w:bottom w:val="nil"/>
              <w:right w:val="single" w:sz="8" w:space="0" w:color="auto"/>
            </w:tcBorders>
            <w:shd w:val="clear" w:color="000000" w:fill="FFFFFF"/>
            <w:vAlign w:val="center"/>
            <w:hideMark/>
          </w:tcPr>
          <w:p w:rsidR="00F34828" w:rsidRPr="00971F51" w:rsidRDefault="00F34828" w:rsidP="00774887">
            <w:pPr>
              <w:jc w:val="center"/>
              <w:rPr>
                <w:rFonts w:ascii="Arial" w:hAnsi="Arial" w:cs="Arial"/>
                <w:color w:val="000000"/>
                <w:lang w:eastAsia="es-CL"/>
              </w:rPr>
            </w:pPr>
            <w:r w:rsidRPr="00971F51">
              <w:rPr>
                <w:rFonts w:ascii="Arial" w:hAnsi="Arial" w:cs="Arial"/>
                <w:color w:val="000000"/>
                <w:lang w:eastAsia="es-CL"/>
              </w:rPr>
              <w:t>2,5%</w:t>
            </w:r>
          </w:p>
        </w:tc>
        <w:tc>
          <w:tcPr>
            <w:tcW w:w="28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r w:rsidR="00F34828" w:rsidRPr="00971F51" w:rsidTr="00774887">
        <w:trPr>
          <w:trHeight w:val="960"/>
        </w:trPr>
        <w:tc>
          <w:tcPr>
            <w:tcW w:w="36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6580" w:type="dxa"/>
            <w:tcBorders>
              <w:top w:val="single" w:sz="8" w:space="0" w:color="auto"/>
              <w:left w:val="single" w:sz="8" w:space="0" w:color="auto"/>
              <w:bottom w:val="nil"/>
              <w:right w:val="single" w:sz="8" w:space="0" w:color="auto"/>
            </w:tcBorders>
            <w:shd w:val="clear" w:color="000000" w:fill="FFFFFF"/>
            <w:hideMark/>
          </w:tcPr>
          <w:p w:rsidR="00F34828" w:rsidRPr="00971F51" w:rsidRDefault="00F34828" w:rsidP="00774887">
            <w:pPr>
              <w:jc w:val="both"/>
              <w:rPr>
                <w:rFonts w:ascii="Arial" w:hAnsi="Arial" w:cs="Arial"/>
                <w:color w:val="000000"/>
                <w:lang w:eastAsia="es-CL"/>
              </w:rPr>
            </w:pPr>
            <w:r w:rsidRPr="00971F51">
              <w:rPr>
                <w:rFonts w:ascii="Arial" w:hAnsi="Arial" w:cs="Arial"/>
                <w:color w:val="000000"/>
                <w:lang w:eastAsia="es-CL"/>
              </w:rPr>
              <w:t xml:space="preserve">Sobre la parte que exceda al valor equivalente a 35.000 </w:t>
            </w:r>
            <w:r w:rsidR="00D27CDF">
              <w:rPr>
                <w:rFonts w:ascii="Arial" w:hAnsi="Arial" w:cs="Arial"/>
                <w:color w:val="000000"/>
                <w:lang w:eastAsia="es-CL"/>
              </w:rPr>
              <w:t>TMCF</w:t>
            </w:r>
            <w:r w:rsidRPr="00971F51">
              <w:rPr>
                <w:rFonts w:ascii="Arial" w:hAnsi="Arial" w:cs="Arial"/>
                <w:color w:val="000000"/>
                <w:lang w:eastAsia="es-CL"/>
              </w:rPr>
              <w:t xml:space="preserve"> y no sobrepase el equivalente a 40.000 </w:t>
            </w:r>
            <w:r w:rsidR="00D27CDF">
              <w:rPr>
                <w:rFonts w:ascii="Arial" w:hAnsi="Arial" w:cs="Arial"/>
                <w:color w:val="000000"/>
                <w:lang w:eastAsia="es-CL"/>
              </w:rPr>
              <w:t>TMCF</w:t>
            </w:r>
            <w:r w:rsidRPr="00971F51">
              <w:rPr>
                <w:rFonts w:ascii="Arial" w:hAnsi="Arial" w:cs="Arial"/>
                <w:color w:val="000000"/>
                <w:lang w:eastAsia="es-CL"/>
              </w:rPr>
              <w:t>.</w:t>
            </w:r>
          </w:p>
        </w:tc>
        <w:tc>
          <w:tcPr>
            <w:tcW w:w="760" w:type="dxa"/>
            <w:tcBorders>
              <w:top w:val="single" w:sz="8" w:space="0" w:color="auto"/>
              <w:left w:val="nil"/>
              <w:bottom w:val="nil"/>
              <w:right w:val="single" w:sz="8" w:space="0" w:color="auto"/>
            </w:tcBorders>
            <w:shd w:val="clear" w:color="000000" w:fill="FFFFFF"/>
            <w:vAlign w:val="center"/>
            <w:hideMark/>
          </w:tcPr>
          <w:p w:rsidR="00F34828" w:rsidRPr="00971F51" w:rsidRDefault="00F34828" w:rsidP="00774887">
            <w:pPr>
              <w:jc w:val="center"/>
              <w:rPr>
                <w:rFonts w:ascii="Arial" w:hAnsi="Arial" w:cs="Arial"/>
                <w:color w:val="000000"/>
                <w:lang w:eastAsia="es-CL"/>
              </w:rPr>
            </w:pPr>
            <w:r w:rsidRPr="00971F51">
              <w:rPr>
                <w:rFonts w:ascii="Arial" w:hAnsi="Arial" w:cs="Arial"/>
                <w:color w:val="000000"/>
                <w:lang w:eastAsia="es-CL"/>
              </w:rPr>
              <w:t>3,0%</w:t>
            </w:r>
          </w:p>
        </w:tc>
        <w:tc>
          <w:tcPr>
            <w:tcW w:w="28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r w:rsidR="00F34828" w:rsidRPr="00971F51" w:rsidTr="00774887">
        <w:trPr>
          <w:trHeight w:val="660"/>
        </w:trPr>
        <w:tc>
          <w:tcPr>
            <w:tcW w:w="36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6580" w:type="dxa"/>
            <w:tcBorders>
              <w:top w:val="single" w:sz="8" w:space="0" w:color="auto"/>
              <w:left w:val="single" w:sz="8" w:space="0" w:color="auto"/>
              <w:bottom w:val="single" w:sz="8" w:space="0" w:color="auto"/>
              <w:right w:val="single" w:sz="8" w:space="0" w:color="auto"/>
            </w:tcBorders>
            <w:shd w:val="clear" w:color="000000" w:fill="FFFFFF"/>
            <w:hideMark/>
          </w:tcPr>
          <w:p w:rsidR="00F34828" w:rsidRPr="00971F51" w:rsidRDefault="00F34828" w:rsidP="00774887">
            <w:pPr>
              <w:jc w:val="both"/>
              <w:rPr>
                <w:rFonts w:ascii="Arial" w:hAnsi="Arial" w:cs="Arial"/>
                <w:color w:val="000000"/>
                <w:lang w:eastAsia="es-CL"/>
              </w:rPr>
            </w:pPr>
            <w:r w:rsidRPr="00971F51">
              <w:rPr>
                <w:rFonts w:ascii="Arial" w:hAnsi="Arial" w:cs="Arial"/>
                <w:color w:val="000000"/>
                <w:lang w:eastAsia="es-CL"/>
              </w:rPr>
              <w:t xml:space="preserve">Sobre la parte que exceda al valor equivalente a 40.000 </w:t>
            </w:r>
            <w:r w:rsidR="00D27CDF">
              <w:rPr>
                <w:rFonts w:ascii="Arial" w:hAnsi="Arial" w:cs="Arial"/>
                <w:color w:val="000000"/>
                <w:lang w:eastAsia="es-CL"/>
              </w:rPr>
              <w:t>TMCF</w:t>
            </w:r>
            <w:r w:rsidRPr="00971F51">
              <w:rPr>
                <w:rFonts w:ascii="Arial" w:hAnsi="Arial" w:cs="Arial"/>
                <w:color w:val="000000"/>
                <w:lang w:eastAsia="es-CL"/>
              </w:rPr>
              <w:t>.</w:t>
            </w:r>
          </w:p>
        </w:tc>
        <w:tc>
          <w:tcPr>
            <w:tcW w:w="760" w:type="dxa"/>
            <w:tcBorders>
              <w:top w:val="single" w:sz="8" w:space="0" w:color="auto"/>
              <w:left w:val="nil"/>
              <w:bottom w:val="single" w:sz="8" w:space="0" w:color="auto"/>
              <w:right w:val="single" w:sz="8" w:space="0" w:color="auto"/>
            </w:tcBorders>
            <w:shd w:val="clear" w:color="000000" w:fill="FFFFFF"/>
            <w:vAlign w:val="center"/>
            <w:hideMark/>
          </w:tcPr>
          <w:p w:rsidR="00F34828" w:rsidRPr="00971F51" w:rsidRDefault="00F34828" w:rsidP="00774887">
            <w:pPr>
              <w:jc w:val="center"/>
              <w:rPr>
                <w:rFonts w:ascii="Arial" w:hAnsi="Arial" w:cs="Arial"/>
                <w:color w:val="000000"/>
                <w:lang w:eastAsia="es-CL"/>
              </w:rPr>
            </w:pPr>
            <w:r w:rsidRPr="00971F51">
              <w:rPr>
                <w:rFonts w:ascii="Arial" w:hAnsi="Arial" w:cs="Arial"/>
                <w:color w:val="000000"/>
                <w:lang w:eastAsia="es-CL"/>
              </w:rPr>
              <w:t>4,5%</w:t>
            </w:r>
          </w:p>
        </w:tc>
        <w:tc>
          <w:tcPr>
            <w:tcW w:w="28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r w:rsidR="00F34828" w:rsidRPr="00971F51" w:rsidTr="00774887">
        <w:trPr>
          <w:trHeight w:val="285"/>
        </w:trPr>
        <w:tc>
          <w:tcPr>
            <w:tcW w:w="36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7340" w:type="dxa"/>
            <w:gridSpan w:val="2"/>
            <w:tcBorders>
              <w:top w:val="nil"/>
              <w:left w:val="nil"/>
              <w:bottom w:val="nil"/>
              <w:right w:val="nil"/>
            </w:tcBorders>
            <w:shd w:val="clear" w:color="000000" w:fill="FFFFFF"/>
            <w:vAlign w:val="bottom"/>
            <w:hideMark/>
          </w:tcPr>
          <w:p w:rsidR="00F34828" w:rsidRPr="00971F51" w:rsidRDefault="00F34828" w:rsidP="00774887">
            <w:pPr>
              <w:jc w:val="center"/>
              <w:rPr>
                <w:rFonts w:ascii="Arial" w:hAnsi="Arial" w:cs="Arial"/>
                <w:color w:val="000000"/>
                <w:lang w:eastAsia="es-CL"/>
              </w:rPr>
            </w:pPr>
            <w:r w:rsidRPr="00971F51">
              <w:rPr>
                <w:rFonts w:ascii="Arial" w:hAnsi="Arial" w:cs="Arial"/>
                <w:color w:val="000000"/>
                <w:lang w:eastAsia="es-CL"/>
              </w:rPr>
              <w:t> </w:t>
            </w:r>
          </w:p>
        </w:tc>
        <w:tc>
          <w:tcPr>
            <w:tcW w:w="28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bl>
    <w:p w:rsidR="00F34828" w:rsidRDefault="00F34828" w:rsidP="00F34828">
      <w:pPr>
        <w:jc w:val="center"/>
        <w:rPr>
          <w:rFonts w:ascii="Arial" w:hAnsi="Arial" w:cs="Arial"/>
          <w:b/>
          <w:sz w:val="24"/>
          <w:szCs w:val="24"/>
        </w:rPr>
      </w:pPr>
    </w:p>
    <w:p w:rsidR="00F34828" w:rsidRDefault="00F34828" w:rsidP="00F34828">
      <w:pPr>
        <w:jc w:val="center"/>
        <w:rPr>
          <w:rFonts w:ascii="Arial" w:hAnsi="Arial" w:cs="Arial"/>
          <w:b/>
          <w:sz w:val="24"/>
          <w:szCs w:val="24"/>
        </w:rPr>
      </w:pPr>
    </w:p>
    <w:p w:rsidR="00F34828" w:rsidRDefault="00F34828" w:rsidP="00F34828">
      <w:pPr>
        <w:jc w:val="center"/>
        <w:rPr>
          <w:rFonts w:ascii="Arial" w:hAnsi="Arial" w:cs="Arial"/>
          <w:b/>
          <w:sz w:val="24"/>
          <w:szCs w:val="24"/>
        </w:rPr>
      </w:pPr>
    </w:p>
    <w:p w:rsidR="00F34828" w:rsidRDefault="00F34828" w:rsidP="00F34828">
      <w:pPr>
        <w:jc w:val="center"/>
        <w:rPr>
          <w:rFonts w:ascii="Arial" w:hAnsi="Arial" w:cs="Arial"/>
          <w:b/>
          <w:sz w:val="24"/>
          <w:szCs w:val="24"/>
        </w:rPr>
      </w:pPr>
    </w:p>
    <w:p w:rsidR="00F34828" w:rsidRDefault="00F34828" w:rsidP="00F34828">
      <w:pPr>
        <w:jc w:val="center"/>
        <w:rPr>
          <w:rFonts w:ascii="Arial" w:hAnsi="Arial" w:cs="Arial"/>
          <w:b/>
          <w:sz w:val="24"/>
          <w:szCs w:val="24"/>
        </w:rPr>
      </w:pPr>
    </w:p>
    <w:p w:rsidR="00F34828" w:rsidRDefault="00F34828" w:rsidP="00F34828">
      <w:pPr>
        <w:jc w:val="center"/>
        <w:rPr>
          <w:rFonts w:ascii="Arial" w:hAnsi="Arial" w:cs="Arial"/>
          <w:b/>
          <w:sz w:val="24"/>
          <w:szCs w:val="24"/>
        </w:rPr>
      </w:pPr>
    </w:p>
    <w:p w:rsidR="00F34828" w:rsidRDefault="00F34828" w:rsidP="00F34828">
      <w:pPr>
        <w:jc w:val="center"/>
        <w:rPr>
          <w:rFonts w:ascii="Arial" w:hAnsi="Arial" w:cs="Arial"/>
          <w:b/>
          <w:sz w:val="24"/>
          <w:szCs w:val="24"/>
        </w:rPr>
      </w:pPr>
    </w:p>
    <w:p w:rsidR="00F34828" w:rsidRDefault="00F34828" w:rsidP="00F34828">
      <w:pPr>
        <w:jc w:val="center"/>
        <w:rPr>
          <w:rFonts w:ascii="Arial" w:hAnsi="Arial" w:cs="Arial"/>
          <w:b/>
          <w:sz w:val="24"/>
          <w:szCs w:val="24"/>
        </w:rPr>
      </w:pPr>
    </w:p>
    <w:p w:rsidR="00F34828" w:rsidRDefault="00F34828" w:rsidP="00F34828">
      <w:pPr>
        <w:jc w:val="center"/>
        <w:rPr>
          <w:rFonts w:ascii="Arial" w:hAnsi="Arial" w:cs="Arial"/>
          <w:b/>
          <w:sz w:val="24"/>
          <w:szCs w:val="24"/>
        </w:rPr>
      </w:pPr>
    </w:p>
    <w:p w:rsidR="00F34828" w:rsidRDefault="00F34828" w:rsidP="00F34828">
      <w:pPr>
        <w:jc w:val="center"/>
        <w:rPr>
          <w:rFonts w:ascii="Arial" w:hAnsi="Arial" w:cs="Arial"/>
          <w:b/>
          <w:sz w:val="24"/>
          <w:szCs w:val="24"/>
        </w:rPr>
      </w:pPr>
    </w:p>
    <w:tbl>
      <w:tblPr>
        <w:tblW w:w="8120" w:type="dxa"/>
        <w:tblInd w:w="52" w:type="dxa"/>
        <w:tblCellMar>
          <w:left w:w="70" w:type="dxa"/>
          <w:right w:w="70" w:type="dxa"/>
        </w:tblCellMar>
        <w:tblLook w:val="04A0" w:firstRow="1" w:lastRow="0" w:firstColumn="1" w:lastColumn="0" w:noHBand="0" w:noVBand="1"/>
      </w:tblPr>
      <w:tblGrid>
        <w:gridCol w:w="340"/>
        <w:gridCol w:w="6300"/>
        <w:gridCol w:w="1120"/>
        <w:gridCol w:w="360"/>
      </w:tblGrid>
      <w:tr w:rsidR="00F34828" w:rsidRPr="004B6956" w:rsidTr="00774887">
        <w:trPr>
          <w:trHeight w:val="300"/>
        </w:trPr>
        <w:tc>
          <w:tcPr>
            <w:tcW w:w="34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7420" w:type="dxa"/>
            <w:gridSpan w:val="2"/>
            <w:tcBorders>
              <w:top w:val="nil"/>
              <w:left w:val="nil"/>
              <w:bottom w:val="nil"/>
              <w:right w:val="nil"/>
            </w:tcBorders>
            <w:shd w:val="clear" w:color="000000" w:fill="FFFFFF"/>
            <w:noWrap/>
            <w:vAlign w:val="bottom"/>
            <w:hideMark/>
          </w:tcPr>
          <w:p w:rsidR="00F34828" w:rsidRPr="004B6956" w:rsidRDefault="00F34828" w:rsidP="004B6956">
            <w:pPr>
              <w:jc w:val="center"/>
              <w:rPr>
                <w:rFonts w:ascii="Arial" w:hAnsi="Arial" w:cs="Arial"/>
                <w:b/>
                <w:bCs/>
                <w:color w:val="000000"/>
                <w:lang w:val="en-US" w:eastAsia="es-CL"/>
              </w:rPr>
            </w:pPr>
            <w:r w:rsidRPr="004B6956">
              <w:rPr>
                <w:rFonts w:ascii="Arial" w:hAnsi="Arial" w:cs="Arial"/>
                <w:b/>
                <w:bCs/>
                <w:color w:val="000000"/>
                <w:lang w:val="en-US" w:eastAsia="es-CL"/>
              </w:rPr>
              <w:t>ANEXO N° 2</w:t>
            </w:r>
            <w:r w:rsidR="004B6956" w:rsidRPr="004B6956">
              <w:rPr>
                <w:rFonts w:ascii="Arial" w:hAnsi="Arial" w:cs="Arial"/>
                <w:b/>
                <w:bCs/>
                <w:color w:val="000000"/>
                <w:lang w:val="en-US" w:eastAsia="es-CL"/>
              </w:rPr>
              <w:t xml:space="preserve"> </w:t>
            </w:r>
            <w:r w:rsidR="004B6956" w:rsidRPr="00AF4F17">
              <w:rPr>
                <w:rFonts w:ascii="Arial" w:hAnsi="Arial" w:cs="Arial"/>
                <w:b/>
                <w:bCs/>
                <w:color w:val="000000"/>
                <w:lang w:val="en-US" w:eastAsia="es-CL"/>
              </w:rPr>
              <w:t xml:space="preserve">TASAS LETRA </w:t>
            </w:r>
            <w:r w:rsidR="004B6956">
              <w:rPr>
                <w:rFonts w:ascii="Arial" w:hAnsi="Arial" w:cs="Arial"/>
                <w:b/>
                <w:bCs/>
                <w:color w:val="000000"/>
                <w:lang w:val="en-US" w:eastAsia="es-CL"/>
              </w:rPr>
              <w:t>c</w:t>
            </w:r>
            <w:r w:rsidR="004B6956" w:rsidRPr="00AF4F17">
              <w:rPr>
                <w:rFonts w:ascii="Arial" w:hAnsi="Arial" w:cs="Arial"/>
                <w:b/>
                <w:bCs/>
                <w:color w:val="000000"/>
                <w:lang w:val="en-US" w:eastAsia="es-CL"/>
              </w:rPr>
              <w:t>), INC. 3°, ART. 64 BIS.</w:t>
            </w:r>
          </w:p>
        </w:tc>
        <w:tc>
          <w:tcPr>
            <w:tcW w:w="360" w:type="dxa"/>
            <w:tcBorders>
              <w:top w:val="nil"/>
              <w:left w:val="nil"/>
              <w:bottom w:val="nil"/>
              <w:right w:val="nil"/>
            </w:tcBorders>
            <w:shd w:val="clear" w:color="000000" w:fill="FFFFFF"/>
            <w:noWrap/>
            <w:vAlign w:val="bottom"/>
            <w:hideMark/>
          </w:tcPr>
          <w:p w:rsidR="00F34828" w:rsidRPr="004B6956" w:rsidRDefault="00F34828" w:rsidP="00774887">
            <w:pPr>
              <w:rPr>
                <w:rFonts w:ascii="Arial" w:hAnsi="Arial" w:cs="Arial"/>
                <w:color w:val="000000"/>
                <w:lang w:val="en-US" w:eastAsia="es-CL"/>
              </w:rPr>
            </w:pPr>
            <w:r w:rsidRPr="004B6956">
              <w:rPr>
                <w:rFonts w:ascii="Arial" w:hAnsi="Arial" w:cs="Arial"/>
                <w:color w:val="000000"/>
                <w:lang w:val="en-US" w:eastAsia="es-CL"/>
              </w:rPr>
              <w:t> </w:t>
            </w:r>
          </w:p>
        </w:tc>
      </w:tr>
      <w:tr w:rsidR="00F34828" w:rsidRPr="004B6956" w:rsidTr="00774887">
        <w:trPr>
          <w:trHeight w:val="300"/>
        </w:trPr>
        <w:tc>
          <w:tcPr>
            <w:tcW w:w="340" w:type="dxa"/>
            <w:tcBorders>
              <w:top w:val="nil"/>
              <w:left w:val="nil"/>
              <w:bottom w:val="nil"/>
              <w:right w:val="nil"/>
            </w:tcBorders>
            <w:shd w:val="clear" w:color="000000" w:fill="FFFFFF"/>
            <w:noWrap/>
            <w:vAlign w:val="bottom"/>
            <w:hideMark/>
          </w:tcPr>
          <w:p w:rsidR="00F34828" w:rsidRPr="004B6956" w:rsidRDefault="00F34828" w:rsidP="00774887">
            <w:pPr>
              <w:rPr>
                <w:rFonts w:ascii="Arial" w:hAnsi="Arial" w:cs="Arial"/>
                <w:color w:val="000000"/>
                <w:lang w:val="en-US" w:eastAsia="es-CL"/>
              </w:rPr>
            </w:pPr>
            <w:r w:rsidRPr="004B6956">
              <w:rPr>
                <w:rFonts w:ascii="Arial" w:hAnsi="Arial" w:cs="Arial"/>
                <w:color w:val="000000"/>
                <w:lang w:val="en-US" w:eastAsia="es-CL"/>
              </w:rPr>
              <w:t> </w:t>
            </w:r>
          </w:p>
        </w:tc>
        <w:tc>
          <w:tcPr>
            <w:tcW w:w="6300" w:type="dxa"/>
            <w:tcBorders>
              <w:top w:val="nil"/>
              <w:left w:val="nil"/>
              <w:bottom w:val="nil"/>
              <w:right w:val="nil"/>
            </w:tcBorders>
            <w:shd w:val="clear" w:color="000000" w:fill="FFFFFF"/>
            <w:noWrap/>
            <w:vAlign w:val="bottom"/>
            <w:hideMark/>
          </w:tcPr>
          <w:p w:rsidR="00F34828" w:rsidRPr="004B6956" w:rsidRDefault="00F34828" w:rsidP="00774887">
            <w:pPr>
              <w:rPr>
                <w:rFonts w:ascii="Arial" w:hAnsi="Arial" w:cs="Arial"/>
                <w:color w:val="000000"/>
                <w:lang w:val="en-US" w:eastAsia="es-CL"/>
              </w:rPr>
            </w:pPr>
            <w:r w:rsidRPr="004B6956">
              <w:rPr>
                <w:rFonts w:ascii="Arial" w:hAnsi="Arial" w:cs="Arial"/>
                <w:color w:val="000000"/>
                <w:lang w:val="en-US" w:eastAsia="es-CL"/>
              </w:rPr>
              <w:t> </w:t>
            </w:r>
          </w:p>
        </w:tc>
        <w:tc>
          <w:tcPr>
            <w:tcW w:w="1120" w:type="dxa"/>
            <w:tcBorders>
              <w:top w:val="nil"/>
              <w:left w:val="nil"/>
              <w:bottom w:val="nil"/>
              <w:right w:val="nil"/>
            </w:tcBorders>
            <w:shd w:val="clear" w:color="000000" w:fill="FFFFFF"/>
            <w:noWrap/>
            <w:vAlign w:val="bottom"/>
            <w:hideMark/>
          </w:tcPr>
          <w:p w:rsidR="00F34828" w:rsidRPr="004B6956" w:rsidRDefault="00F34828" w:rsidP="00774887">
            <w:pPr>
              <w:rPr>
                <w:rFonts w:ascii="Arial" w:hAnsi="Arial" w:cs="Arial"/>
                <w:color w:val="000000"/>
                <w:lang w:val="en-US" w:eastAsia="es-CL"/>
              </w:rPr>
            </w:pPr>
            <w:r w:rsidRPr="004B6956">
              <w:rPr>
                <w:rFonts w:ascii="Arial" w:hAnsi="Arial" w:cs="Arial"/>
                <w:color w:val="000000"/>
                <w:lang w:val="en-US" w:eastAsia="es-CL"/>
              </w:rPr>
              <w:t> </w:t>
            </w:r>
          </w:p>
        </w:tc>
        <w:tc>
          <w:tcPr>
            <w:tcW w:w="360" w:type="dxa"/>
            <w:tcBorders>
              <w:top w:val="nil"/>
              <w:left w:val="nil"/>
              <w:bottom w:val="nil"/>
              <w:right w:val="nil"/>
            </w:tcBorders>
            <w:shd w:val="clear" w:color="000000" w:fill="FFFFFF"/>
            <w:noWrap/>
            <w:vAlign w:val="bottom"/>
            <w:hideMark/>
          </w:tcPr>
          <w:p w:rsidR="00F34828" w:rsidRPr="004B6956" w:rsidRDefault="00F34828" w:rsidP="00774887">
            <w:pPr>
              <w:rPr>
                <w:rFonts w:ascii="Arial" w:hAnsi="Arial" w:cs="Arial"/>
                <w:color w:val="000000"/>
                <w:lang w:val="en-US" w:eastAsia="es-CL"/>
              </w:rPr>
            </w:pPr>
            <w:r w:rsidRPr="004B6956">
              <w:rPr>
                <w:rFonts w:ascii="Arial" w:hAnsi="Arial" w:cs="Arial"/>
                <w:color w:val="000000"/>
                <w:lang w:val="en-US" w:eastAsia="es-CL"/>
              </w:rPr>
              <w:t> </w:t>
            </w:r>
          </w:p>
        </w:tc>
      </w:tr>
      <w:tr w:rsidR="00F34828" w:rsidRPr="00971F51" w:rsidTr="00F34828">
        <w:trPr>
          <w:trHeight w:val="1090"/>
        </w:trPr>
        <w:tc>
          <w:tcPr>
            <w:tcW w:w="340" w:type="dxa"/>
            <w:tcBorders>
              <w:top w:val="nil"/>
              <w:left w:val="nil"/>
              <w:bottom w:val="nil"/>
              <w:right w:val="nil"/>
            </w:tcBorders>
            <w:shd w:val="clear" w:color="000000" w:fill="FFFFFF"/>
            <w:noWrap/>
            <w:vAlign w:val="bottom"/>
            <w:hideMark/>
          </w:tcPr>
          <w:p w:rsidR="00F34828" w:rsidRPr="004B6956" w:rsidRDefault="00F34828" w:rsidP="00774887">
            <w:pPr>
              <w:rPr>
                <w:rFonts w:ascii="Arial" w:hAnsi="Arial" w:cs="Arial"/>
                <w:color w:val="000000"/>
                <w:lang w:val="en-US" w:eastAsia="es-CL"/>
              </w:rPr>
            </w:pPr>
            <w:r w:rsidRPr="004B6956">
              <w:rPr>
                <w:rFonts w:ascii="Arial" w:hAnsi="Arial" w:cs="Arial"/>
                <w:color w:val="000000"/>
                <w:lang w:val="en-US" w:eastAsia="es-CL"/>
              </w:rPr>
              <w:t> </w:t>
            </w:r>
          </w:p>
        </w:tc>
        <w:tc>
          <w:tcPr>
            <w:tcW w:w="7420" w:type="dxa"/>
            <w:gridSpan w:val="2"/>
            <w:tcBorders>
              <w:top w:val="single" w:sz="8" w:space="0" w:color="auto"/>
              <w:left w:val="single" w:sz="8" w:space="0" w:color="auto"/>
              <w:bottom w:val="single" w:sz="4" w:space="0" w:color="000000"/>
              <w:right w:val="single" w:sz="8" w:space="0" w:color="000000"/>
            </w:tcBorders>
            <w:shd w:val="clear" w:color="000000" w:fill="FFFFFF"/>
            <w:hideMark/>
          </w:tcPr>
          <w:p w:rsidR="00F34828" w:rsidRPr="00971F51" w:rsidRDefault="0055225C" w:rsidP="00530263">
            <w:pPr>
              <w:jc w:val="both"/>
              <w:rPr>
                <w:rFonts w:ascii="Arial" w:hAnsi="Arial" w:cs="Arial"/>
                <w:color w:val="000000"/>
                <w:lang w:eastAsia="es-CL"/>
              </w:rPr>
            </w:pPr>
            <w:r>
              <w:rPr>
                <w:rFonts w:ascii="Arial" w:hAnsi="Arial" w:cs="Arial"/>
                <w:color w:val="000000"/>
                <w:lang w:eastAsia="es-CL"/>
              </w:rPr>
              <w:t xml:space="preserve">A los </w:t>
            </w:r>
            <w:r w:rsidR="00F34828" w:rsidRPr="00971F51">
              <w:rPr>
                <w:rFonts w:ascii="Arial" w:hAnsi="Arial" w:cs="Arial"/>
                <w:color w:val="000000"/>
                <w:lang w:eastAsia="es-CL"/>
              </w:rPr>
              <w:t>E</w:t>
            </w:r>
            <w:r w:rsidR="008D71BF">
              <w:rPr>
                <w:rFonts w:ascii="Arial" w:hAnsi="Arial" w:cs="Arial"/>
                <w:color w:val="000000"/>
                <w:lang w:eastAsia="es-CL"/>
              </w:rPr>
              <w:t>M</w:t>
            </w:r>
            <w:r w:rsidR="00F34828" w:rsidRPr="00971F51">
              <w:rPr>
                <w:rFonts w:ascii="Arial" w:hAnsi="Arial" w:cs="Arial"/>
                <w:color w:val="000000"/>
                <w:lang w:eastAsia="es-CL"/>
              </w:rPr>
              <w:t xml:space="preserve"> cuyas ventas anuales determinadas conforme a la letra d) del </w:t>
            </w:r>
            <w:r w:rsidR="008D71BF">
              <w:rPr>
                <w:rFonts w:ascii="Arial" w:hAnsi="Arial" w:cs="Arial"/>
                <w:color w:val="000000"/>
                <w:lang w:eastAsia="es-CL"/>
              </w:rPr>
              <w:t>inciso 3</w:t>
            </w:r>
            <w:r w:rsidR="00F34828" w:rsidRPr="00971F51">
              <w:rPr>
                <w:rFonts w:ascii="Arial" w:hAnsi="Arial" w:cs="Arial"/>
                <w:color w:val="000000"/>
                <w:lang w:eastAsia="es-CL"/>
              </w:rPr>
              <w:t xml:space="preserve">° del Art. 64 bis de la LIR, excedan al valor equivalente a 50.000 </w:t>
            </w:r>
            <w:r w:rsidR="008D71BF">
              <w:rPr>
                <w:rFonts w:ascii="Arial" w:hAnsi="Arial" w:cs="Arial"/>
                <w:color w:val="000000"/>
                <w:lang w:eastAsia="es-CL"/>
              </w:rPr>
              <w:t>TMCF</w:t>
            </w:r>
            <w:r w:rsidR="00F34828" w:rsidRPr="00971F51">
              <w:rPr>
                <w:rFonts w:ascii="Arial" w:hAnsi="Arial" w:cs="Arial"/>
                <w:color w:val="000000"/>
                <w:lang w:eastAsia="es-CL"/>
              </w:rPr>
              <w:t xml:space="preserve">, se les aplicará una tasa correspondiente al MOM, de acuerdo a la siguiente tabla: </w:t>
            </w:r>
          </w:p>
        </w:tc>
        <w:tc>
          <w:tcPr>
            <w:tcW w:w="36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r w:rsidR="00F34828" w:rsidRPr="00971F51" w:rsidTr="00774887">
        <w:trPr>
          <w:trHeight w:val="450"/>
        </w:trPr>
        <w:tc>
          <w:tcPr>
            <w:tcW w:w="34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6300" w:type="dxa"/>
            <w:tcBorders>
              <w:top w:val="single" w:sz="8" w:space="0" w:color="auto"/>
              <w:left w:val="single" w:sz="8" w:space="0" w:color="auto"/>
              <w:bottom w:val="single" w:sz="8" w:space="0" w:color="auto"/>
              <w:right w:val="single" w:sz="8" w:space="0" w:color="auto"/>
            </w:tcBorders>
            <w:shd w:val="clear" w:color="000000" w:fill="BFBFBF"/>
            <w:hideMark/>
          </w:tcPr>
          <w:p w:rsidR="00F34828" w:rsidRPr="00971F51" w:rsidRDefault="00F34828" w:rsidP="00F44D99">
            <w:pPr>
              <w:jc w:val="center"/>
              <w:rPr>
                <w:rFonts w:ascii="Arial" w:hAnsi="Arial" w:cs="Arial"/>
                <w:b/>
                <w:bCs/>
                <w:color w:val="000000"/>
                <w:lang w:eastAsia="es-CL"/>
              </w:rPr>
            </w:pPr>
            <w:r w:rsidRPr="00971F51">
              <w:rPr>
                <w:rFonts w:ascii="Arial" w:hAnsi="Arial" w:cs="Arial"/>
                <w:b/>
                <w:bCs/>
                <w:color w:val="000000"/>
                <w:lang w:eastAsia="es-CL"/>
              </w:rPr>
              <w:t>MOM</w:t>
            </w:r>
          </w:p>
        </w:tc>
        <w:tc>
          <w:tcPr>
            <w:tcW w:w="1120" w:type="dxa"/>
            <w:tcBorders>
              <w:top w:val="single" w:sz="8" w:space="0" w:color="auto"/>
              <w:left w:val="nil"/>
              <w:bottom w:val="single" w:sz="8" w:space="0" w:color="auto"/>
              <w:right w:val="single" w:sz="8" w:space="0" w:color="auto"/>
            </w:tcBorders>
            <w:shd w:val="clear" w:color="000000" w:fill="BFBFBF"/>
            <w:hideMark/>
          </w:tcPr>
          <w:p w:rsidR="00F34828" w:rsidRPr="00971F51" w:rsidRDefault="00F34828" w:rsidP="00774887">
            <w:pPr>
              <w:jc w:val="center"/>
              <w:rPr>
                <w:rFonts w:ascii="Arial" w:hAnsi="Arial" w:cs="Arial"/>
                <w:b/>
                <w:bCs/>
                <w:color w:val="000000"/>
                <w:lang w:eastAsia="es-CL"/>
              </w:rPr>
            </w:pPr>
            <w:r w:rsidRPr="00971F51">
              <w:rPr>
                <w:rFonts w:ascii="Arial" w:hAnsi="Arial" w:cs="Arial"/>
                <w:b/>
                <w:bCs/>
                <w:color w:val="000000"/>
                <w:lang w:eastAsia="es-CL"/>
              </w:rPr>
              <w:t xml:space="preserve">TASA  </w:t>
            </w:r>
          </w:p>
        </w:tc>
        <w:tc>
          <w:tcPr>
            <w:tcW w:w="36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r w:rsidR="00F34828" w:rsidRPr="00971F51" w:rsidTr="00774887">
        <w:trPr>
          <w:trHeight w:val="450"/>
        </w:trPr>
        <w:tc>
          <w:tcPr>
            <w:tcW w:w="34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6300" w:type="dxa"/>
            <w:tcBorders>
              <w:top w:val="nil"/>
              <w:left w:val="single" w:sz="8" w:space="0" w:color="auto"/>
              <w:bottom w:val="nil"/>
              <w:right w:val="single" w:sz="8" w:space="0" w:color="auto"/>
            </w:tcBorders>
            <w:shd w:val="clear" w:color="000000" w:fill="FFFFFF"/>
            <w:hideMark/>
          </w:tcPr>
          <w:p w:rsidR="00F34828" w:rsidRPr="00971F51" w:rsidRDefault="00F34828" w:rsidP="00774887">
            <w:pPr>
              <w:jc w:val="both"/>
              <w:rPr>
                <w:rFonts w:ascii="Arial" w:hAnsi="Arial" w:cs="Arial"/>
                <w:color w:val="000000"/>
                <w:lang w:eastAsia="es-CL"/>
              </w:rPr>
            </w:pPr>
            <w:r w:rsidRPr="00971F51">
              <w:rPr>
                <w:rFonts w:ascii="Arial" w:hAnsi="Arial" w:cs="Arial"/>
                <w:color w:val="000000"/>
                <w:lang w:eastAsia="es-CL"/>
              </w:rPr>
              <w:t xml:space="preserve">Si el </w:t>
            </w:r>
            <w:r w:rsidR="00F44D99" w:rsidRPr="00971F51">
              <w:rPr>
                <w:rFonts w:ascii="Arial" w:hAnsi="Arial" w:cs="Arial"/>
                <w:color w:val="000000"/>
                <w:lang w:eastAsia="es-CL"/>
              </w:rPr>
              <w:t xml:space="preserve">MOM </w:t>
            </w:r>
            <w:r w:rsidRPr="00971F51">
              <w:rPr>
                <w:rFonts w:ascii="Arial" w:hAnsi="Arial" w:cs="Arial"/>
                <w:color w:val="000000"/>
                <w:lang w:eastAsia="es-CL"/>
              </w:rPr>
              <w:t>es igual o inferior a 35.</w:t>
            </w:r>
          </w:p>
        </w:tc>
        <w:tc>
          <w:tcPr>
            <w:tcW w:w="1120" w:type="dxa"/>
            <w:tcBorders>
              <w:top w:val="nil"/>
              <w:left w:val="nil"/>
              <w:bottom w:val="nil"/>
              <w:right w:val="single" w:sz="8" w:space="0" w:color="auto"/>
            </w:tcBorders>
            <w:shd w:val="clear" w:color="000000" w:fill="FFFFFF"/>
            <w:vAlign w:val="center"/>
            <w:hideMark/>
          </w:tcPr>
          <w:p w:rsidR="00F34828" w:rsidRPr="00971F51" w:rsidRDefault="00F34828" w:rsidP="00774887">
            <w:pPr>
              <w:jc w:val="center"/>
              <w:rPr>
                <w:rFonts w:ascii="Arial" w:hAnsi="Arial" w:cs="Arial"/>
                <w:color w:val="000000"/>
                <w:lang w:eastAsia="es-CL"/>
              </w:rPr>
            </w:pPr>
            <w:r w:rsidRPr="00971F51">
              <w:rPr>
                <w:rFonts w:ascii="Arial" w:hAnsi="Arial" w:cs="Arial"/>
                <w:color w:val="000000"/>
                <w:lang w:eastAsia="es-CL"/>
              </w:rPr>
              <w:t>5,0%</w:t>
            </w:r>
          </w:p>
        </w:tc>
        <w:tc>
          <w:tcPr>
            <w:tcW w:w="36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r w:rsidR="00F34828" w:rsidRPr="00971F51" w:rsidTr="00774887">
        <w:trPr>
          <w:trHeight w:val="660"/>
        </w:trPr>
        <w:tc>
          <w:tcPr>
            <w:tcW w:w="34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6300" w:type="dxa"/>
            <w:tcBorders>
              <w:top w:val="single" w:sz="8" w:space="0" w:color="auto"/>
              <w:left w:val="single" w:sz="8" w:space="0" w:color="auto"/>
              <w:bottom w:val="nil"/>
              <w:right w:val="single" w:sz="8" w:space="0" w:color="auto"/>
            </w:tcBorders>
            <w:shd w:val="clear" w:color="000000" w:fill="FFFFFF"/>
            <w:hideMark/>
          </w:tcPr>
          <w:p w:rsidR="00F34828" w:rsidRPr="00971F51" w:rsidRDefault="00F34828" w:rsidP="00774887">
            <w:pPr>
              <w:jc w:val="both"/>
              <w:rPr>
                <w:rFonts w:ascii="Arial" w:hAnsi="Arial" w:cs="Arial"/>
                <w:color w:val="000000"/>
                <w:lang w:eastAsia="es-CL"/>
              </w:rPr>
            </w:pPr>
            <w:r w:rsidRPr="00971F51">
              <w:rPr>
                <w:rFonts w:ascii="Arial" w:hAnsi="Arial" w:cs="Arial"/>
                <w:color w:val="000000"/>
                <w:lang w:eastAsia="es-CL"/>
              </w:rPr>
              <w:t xml:space="preserve">Sobre la parte del </w:t>
            </w:r>
            <w:r w:rsidR="00F44D99" w:rsidRPr="00971F51">
              <w:rPr>
                <w:rFonts w:ascii="Arial" w:hAnsi="Arial" w:cs="Arial"/>
                <w:color w:val="000000"/>
                <w:lang w:eastAsia="es-CL"/>
              </w:rPr>
              <w:t xml:space="preserve">MOM </w:t>
            </w:r>
            <w:r w:rsidRPr="00971F51">
              <w:rPr>
                <w:rFonts w:ascii="Arial" w:hAnsi="Arial" w:cs="Arial"/>
                <w:color w:val="000000"/>
                <w:lang w:eastAsia="es-CL"/>
              </w:rPr>
              <w:t>que exceda de 35 y no sobrepase de 40.</w:t>
            </w:r>
          </w:p>
        </w:tc>
        <w:tc>
          <w:tcPr>
            <w:tcW w:w="1120" w:type="dxa"/>
            <w:tcBorders>
              <w:top w:val="single" w:sz="8" w:space="0" w:color="auto"/>
              <w:left w:val="nil"/>
              <w:bottom w:val="nil"/>
              <w:right w:val="single" w:sz="8" w:space="0" w:color="auto"/>
            </w:tcBorders>
            <w:shd w:val="clear" w:color="000000" w:fill="FFFFFF"/>
            <w:vAlign w:val="center"/>
            <w:hideMark/>
          </w:tcPr>
          <w:p w:rsidR="00F34828" w:rsidRPr="00971F51" w:rsidRDefault="00F34828" w:rsidP="00774887">
            <w:pPr>
              <w:jc w:val="center"/>
              <w:rPr>
                <w:rFonts w:ascii="Arial" w:hAnsi="Arial" w:cs="Arial"/>
                <w:color w:val="000000"/>
                <w:lang w:eastAsia="es-CL"/>
              </w:rPr>
            </w:pPr>
            <w:r w:rsidRPr="00971F51">
              <w:rPr>
                <w:rFonts w:ascii="Arial" w:hAnsi="Arial" w:cs="Arial"/>
                <w:color w:val="000000"/>
                <w:lang w:eastAsia="es-CL"/>
              </w:rPr>
              <w:t>8,0%</w:t>
            </w:r>
          </w:p>
        </w:tc>
        <w:tc>
          <w:tcPr>
            <w:tcW w:w="36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r w:rsidR="00F34828" w:rsidRPr="00971F51" w:rsidTr="00774887">
        <w:trPr>
          <w:trHeight w:val="645"/>
        </w:trPr>
        <w:tc>
          <w:tcPr>
            <w:tcW w:w="34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6300" w:type="dxa"/>
            <w:tcBorders>
              <w:top w:val="single" w:sz="8" w:space="0" w:color="auto"/>
              <w:left w:val="single" w:sz="8" w:space="0" w:color="auto"/>
              <w:bottom w:val="nil"/>
              <w:right w:val="single" w:sz="8" w:space="0" w:color="auto"/>
            </w:tcBorders>
            <w:shd w:val="clear" w:color="000000" w:fill="FFFFFF"/>
            <w:hideMark/>
          </w:tcPr>
          <w:p w:rsidR="00F34828" w:rsidRPr="00971F51" w:rsidRDefault="00F34828" w:rsidP="00774887">
            <w:pPr>
              <w:jc w:val="both"/>
              <w:rPr>
                <w:rFonts w:ascii="Arial" w:hAnsi="Arial" w:cs="Arial"/>
                <w:color w:val="000000"/>
                <w:lang w:eastAsia="es-CL"/>
              </w:rPr>
            </w:pPr>
            <w:r w:rsidRPr="00971F51">
              <w:rPr>
                <w:rFonts w:ascii="Arial" w:hAnsi="Arial" w:cs="Arial"/>
                <w:color w:val="000000"/>
                <w:lang w:eastAsia="es-CL"/>
              </w:rPr>
              <w:t xml:space="preserve">Sobre la parte del </w:t>
            </w:r>
            <w:r w:rsidR="00F44D99" w:rsidRPr="00971F51">
              <w:rPr>
                <w:rFonts w:ascii="Arial" w:hAnsi="Arial" w:cs="Arial"/>
                <w:color w:val="000000"/>
                <w:lang w:eastAsia="es-CL"/>
              </w:rPr>
              <w:t xml:space="preserve">MOM </w:t>
            </w:r>
            <w:r w:rsidRPr="00971F51">
              <w:rPr>
                <w:rFonts w:ascii="Arial" w:hAnsi="Arial" w:cs="Arial"/>
                <w:color w:val="000000"/>
                <w:lang w:eastAsia="es-CL"/>
              </w:rPr>
              <w:t>que exceda de 40 y no sobrepase de 45.</w:t>
            </w:r>
          </w:p>
        </w:tc>
        <w:tc>
          <w:tcPr>
            <w:tcW w:w="1120" w:type="dxa"/>
            <w:tcBorders>
              <w:top w:val="single" w:sz="8" w:space="0" w:color="auto"/>
              <w:left w:val="nil"/>
              <w:bottom w:val="nil"/>
              <w:right w:val="single" w:sz="8" w:space="0" w:color="auto"/>
            </w:tcBorders>
            <w:shd w:val="clear" w:color="000000" w:fill="FFFFFF"/>
            <w:vAlign w:val="center"/>
            <w:hideMark/>
          </w:tcPr>
          <w:p w:rsidR="00F34828" w:rsidRPr="00971F51" w:rsidRDefault="00F34828" w:rsidP="00774887">
            <w:pPr>
              <w:jc w:val="center"/>
              <w:rPr>
                <w:rFonts w:ascii="Arial" w:hAnsi="Arial" w:cs="Arial"/>
                <w:color w:val="000000"/>
                <w:lang w:eastAsia="es-CL"/>
              </w:rPr>
            </w:pPr>
            <w:r w:rsidRPr="00971F51">
              <w:rPr>
                <w:rFonts w:ascii="Arial" w:hAnsi="Arial" w:cs="Arial"/>
                <w:color w:val="000000"/>
                <w:lang w:eastAsia="es-CL"/>
              </w:rPr>
              <w:t>10,5%</w:t>
            </w:r>
          </w:p>
        </w:tc>
        <w:tc>
          <w:tcPr>
            <w:tcW w:w="360" w:type="dxa"/>
            <w:tcBorders>
              <w:top w:val="nil"/>
              <w:left w:val="nil"/>
              <w:bottom w:val="nil"/>
              <w:right w:val="nil"/>
            </w:tcBorders>
            <w:shd w:val="clear" w:color="000000" w:fill="FFFFFF"/>
            <w:noWrap/>
            <w:vAlign w:val="bottom"/>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r w:rsidR="00F34828" w:rsidRPr="00971F51" w:rsidTr="00774887">
        <w:trPr>
          <w:trHeight w:val="645"/>
        </w:trPr>
        <w:tc>
          <w:tcPr>
            <w:tcW w:w="34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6300" w:type="dxa"/>
            <w:tcBorders>
              <w:top w:val="single" w:sz="8" w:space="0" w:color="auto"/>
              <w:left w:val="single" w:sz="8" w:space="0" w:color="auto"/>
              <w:bottom w:val="nil"/>
              <w:right w:val="single" w:sz="8" w:space="0" w:color="auto"/>
            </w:tcBorders>
            <w:shd w:val="clear" w:color="000000" w:fill="FFFFFF"/>
            <w:hideMark/>
          </w:tcPr>
          <w:p w:rsidR="00F34828" w:rsidRPr="00971F51" w:rsidRDefault="00F34828" w:rsidP="00774887">
            <w:pPr>
              <w:jc w:val="both"/>
              <w:rPr>
                <w:rFonts w:ascii="Arial" w:hAnsi="Arial" w:cs="Arial"/>
                <w:color w:val="000000"/>
                <w:lang w:eastAsia="es-CL"/>
              </w:rPr>
            </w:pPr>
            <w:r w:rsidRPr="00971F51">
              <w:rPr>
                <w:rFonts w:ascii="Arial" w:hAnsi="Arial" w:cs="Arial"/>
                <w:color w:val="000000"/>
                <w:lang w:eastAsia="es-CL"/>
              </w:rPr>
              <w:t xml:space="preserve">Sobre la parte del </w:t>
            </w:r>
            <w:r w:rsidR="00F44D99" w:rsidRPr="00971F51">
              <w:rPr>
                <w:rFonts w:ascii="Arial" w:hAnsi="Arial" w:cs="Arial"/>
                <w:color w:val="000000"/>
                <w:lang w:eastAsia="es-CL"/>
              </w:rPr>
              <w:t xml:space="preserve">MOM </w:t>
            </w:r>
            <w:r w:rsidRPr="00971F51">
              <w:rPr>
                <w:rFonts w:ascii="Arial" w:hAnsi="Arial" w:cs="Arial"/>
                <w:color w:val="000000"/>
                <w:lang w:eastAsia="es-CL"/>
              </w:rPr>
              <w:t>que exceda de 45 y no sobrepase de 50.</w:t>
            </w:r>
          </w:p>
        </w:tc>
        <w:tc>
          <w:tcPr>
            <w:tcW w:w="1120" w:type="dxa"/>
            <w:tcBorders>
              <w:top w:val="single" w:sz="8" w:space="0" w:color="auto"/>
              <w:left w:val="nil"/>
              <w:bottom w:val="nil"/>
              <w:right w:val="single" w:sz="8" w:space="0" w:color="auto"/>
            </w:tcBorders>
            <w:shd w:val="clear" w:color="000000" w:fill="FFFFFF"/>
            <w:vAlign w:val="center"/>
            <w:hideMark/>
          </w:tcPr>
          <w:p w:rsidR="00F34828" w:rsidRPr="00971F51" w:rsidRDefault="00F34828" w:rsidP="00774887">
            <w:pPr>
              <w:jc w:val="center"/>
              <w:rPr>
                <w:rFonts w:ascii="Arial" w:hAnsi="Arial" w:cs="Arial"/>
                <w:color w:val="000000"/>
                <w:lang w:eastAsia="es-CL"/>
              </w:rPr>
            </w:pPr>
            <w:r w:rsidRPr="00971F51">
              <w:rPr>
                <w:rFonts w:ascii="Arial" w:hAnsi="Arial" w:cs="Arial"/>
                <w:color w:val="000000"/>
                <w:lang w:eastAsia="es-CL"/>
              </w:rPr>
              <w:t>13,0%</w:t>
            </w:r>
          </w:p>
        </w:tc>
        <w:tc>
          <w:tcPr>
            <w:tcW w:w="36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r w:rsidR="00F34828" w:rsidRPr="00971F51" w:rsidTr="00774887">
        <w:trPr>
          <w:trHeight w:val="615"/>
        </w:trPr>
        <w:tc>
          <w:tcPr>
            <w:tcW w:w="34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6300" w:type="dxa"/>
            <w:tcBorders>
              <w:top w:val="single" w:sz="8" w:space="0" w:color="auto"/>
              <w:left w:val="single" w:sz="8" w:space="0" w:color="auto"/>
              <w:bottom w:val="nil"/>
              <w:right w:val="single" w:sz="8" w:space="0" w:color="auto"/>
            </w:tcBorders>
            <w:shd w:val="clear" w:color="000000" w:fill="FFFFFF"/>
            <w:hideMark/>
          </w:tcPr>
          <w:p w:rsidR="00F34828" w:rsidRPr="00971F51" w:rsidRDefault="00F34828" w:rsidP="00774887">
            <w:pPr>
              <w:jc w:val="both"/>
              <w:rPr>
                <w:rFonts w:ascii="Arial" w:hAnsi="Arial" w:cs="Arial"/>
                <w:color w:val="000000"/>
                <w:lang w:eastAsia="es-CL"/>
              </w:rPr>
            </w:pPr>
            <w:r w:rsidRPr="00971F51">
              <w:rPr>
                <w:rFonts w:ascii="Arial" w:hAnsi="Arial" w:cs="Arial"/>
                <w:color w:val="000000"/>
                <w:lang w:eastAsia="es-CL"/>
              </w:rPr>
              <w:t xml:space="preserve">Sobre la parte del </w:t>
            </w:r>
            <w:r w:rsidR="00F44D99" w:rsidRPr="00971F51">
              <w:rPr>
                <w:rFonts w:ascii="Arial" w:hAnsi="Arial" w:cs="Arial"/>
                <w:color w:val="000000"/>
                <w:lang w:eastAsia="es-CL"/>
              </w:rPr>
              <w:t xml:space="preserve">MOM </w:t>
            </w:r>
            <w:r w:rsidRPr="00971F51">
              <w:rPr>
                <w:rFonts w:ascii="Arial" w:hAnsi="Arial" w:cs="Arial"/>
                <w:color w:val="000000"/>
                <w:lang w:eastAsia="es-CL"/>
              </w:rPr>
              <w:t>que exceda de 50 y no sobrepase de 55.</w:t>
            </w:r>
          </w:p>
        </w:tc>
        <w:tc>
          <w:tcPr>
            <w:tcW w:w="1120" w:type="dxa"/>
            <w:tcBorders>
              <w:top w:val="single" w:sz="8" w:space="0" w:color="auto"/>
              <w:left w:val="nil"/>
              <w:bottom w:val="nil"/>
              <w:right w:val="single" w:sz="8" w:space="0" w:color="auto"/>
            </w:tcBorders>
            <w:shd w:val="clear" w:color="000000" w:fill="FFFFFF"/>
            <w:vAlign w:val="center"/>
            <w:hideMark/>
          </w:tcPr>
          <w:p w:rsidR="00F34828" w:rsidRPr="00971F51" w:rsidRDefault="00F34828" w:rsidP="00774887">
            <w:pPr>
              <w:jc w:val="center"/>
              <w:rPr>
                <w:rFonts w:ascii="Arial" w:hAnsi="Arial" w:cs="Arial"/>
                <w:color w:val="000000"/>
                <w:lang w:eastAsia="es-CL"/>
              </w:rPr>
            </w:pPr>
            <w:r w:rsidRPr="00971F51">
              <w:rPr>
                <w:rFonts w:ascii="Arial" w:hAnsi="Arial" w:cs="Arial"/>
                <w:color w:val="000000"/>
                <w:lang w:eastAsia="es-CL"/>
              </w:rPr>
              <w:t>15,5%</w:t>
            </w:r>
          </w:p>
        </w:tc>
        <w:tc>
          <w:tcPr>
            <w:tcW w:w="36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r w:rsidR="00F34828" w:rsidRPr="00971F51" w:rsidTr="00774887">
        <w:trPr>
          <w:trHeight w:val="600"/>
        </w:trPr>
        <w:tc>
          <w:tcPr>
            <w:tcW w:w="34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6300" w:type="dxa"/>
            <w:tcBorders>
              <w:top w:val="single" w:sz="8" w:space="0" w:color="auto"/>
              <w:left w:val="single" w:sz="8" w:space="0" w:color="auto"/>
              <w:bottom w:val="nil"/>
              <w:right w:val="single" w:sz="8" w:space="0" w:color="auto"/>
            </w:tcBorders>
            <w:shd w:val="clear" w:color="000000" w:fill="FFFFFF"/>
            <w:hideMark/>
          </w:tcPr>
          <w:p w:rsidR="00F34828" w:rsidRPr="00971F51" w:rsidRDefault="00F34828" w:rsidP="00774887">
            <w:pPr>
              <w:jc w:val="both"/>
              <w:rPr>
                <w:rFonts w:ascii="Arial" w:hAnsi="Arial" w:cs="Arial"/>
                <w:color w:val="000000"/>
                <w:lang w:eastAsia="es-CL"/>
              </w:rPr>
            </w:pPr>
            <w:r w:rsidRPr="00971F51">
              <w:rPr>
                <w:rFonts w:ascii="Arial" w:hAnsi="Arial" w:cs="Arial"/>
                <w:color w:val="000000"/>
                <w:lang w:eastAsia="es-CL"/>
              </w:rPr>
              <w:t xml:space="preserve">Sobre la parte del </w:t>
            </w:r>
            <w:r w:rsidR="00F44D99" w:rsidRPr="00971F51">
              <w:rPr>
                <w:rFonts w:ascii="Arial" w:hAnsi="Arial" w:cs="Arial"/>
                <w:color w:val="000000"/>
                <w:lang w:eastAsia="es-CL"/>
              </w:rPr>
              <w:t xml:space="preserve">MOM </w:t>
            </w:r>
            <w:r w:rsidRPr="00971F51">
              <w:rPr>
                <w:rFonts w:ascii="Arial" w:hAnsi="Arial" w:cs="Arial"/>
                <w:color w:val="000000"/>
                <w:lang w:eastAsia="es-CL"/>
              </w:rPr>
              <w:t>que exceda de 55 y no sobrepase de 60.</w:t>
            </w:r>
          </w:p>
        </w:tc>
        <w:tc>
          <w:tcPr>
            <w:tcW w:w="1120" w:type="dxa"/>
            <w:tcBorders>
              <w:top w:val="single" w:sz="8" w:space="0" w:color="auto"/>
              <w:left w:val="nil"/>
              <w:bottom w:val="nil"/>
              <w:right w:val="single" w:sz="8" w:space="0" w:color="auto"/>
            </w:tcBorders>
            <w:shd w:val="clear" w:color="000000" w:fill="FFFFFF"/>
            <w:vAlign w:val="center"/>
            <w:hideMark/>
          </w:tcPr>
          <w:p w:rsidR="00F34828" w:rsidRPr="00971F51" w:rsidRDefault="00F34828" w:rsidP="00774887">
            <w:pPr>
              <w:jc w:val="center"/>
              <w:rPr>
                <w:rFonts w:ascii="Arial" w:hAnsi="Arial" w:cs="Arial"/>
                <w:color w:val="000000"/>
                <w:lang w:eastAsia="es-CL"/>
              </w:rPr>
            </w:pPr>
            <w:r w:rsidRPr="00971F51">
              <w:rPr>
                <w:rFonts w:ascii="Arial" w:hAnsi="Arial" w:cs="Arial"/>
                <w:color w:val="000000"/>
                <w:lang w:eastAsia="es-CL"/>
              </w:rPr>
              <w:t>18,0%</w:t>
            </w:r>
          </w:p>
        </w:tc>
        <w:tc>
          <w:tcPr>
            <w:tcW w:w="36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r w:rsidR="00F34828" w:rsidRPr="00971F51" w:rsidTr="00774887">
        <w:trPr>
          <w:trHeight w:val="645"/>
        </w:trPr>
        <w:tc>
          <w:tcPr>
            <w:tcW w:w="34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6300" w:type="dxa"/>
            <w:tcBorders>
              <w:top w:val="single" w:sz="8" w:space="0" w:color="auto"/>
              <w:left w:val="single" w:sz="8" w:space="0" w:color="auto"/>
              <w:bottom w:val="nil"/>
              <w:right w:val="single" w:sz="8" w:space="0" w:color="auto"/>
            </w:tcBorders>
            <w:shd w:val="clear" w:color="000000" w:fill="FFFFFF"/>
            <w:hideMark/>
          </w:tcPr>
          <w:p w:rsidR="00F34828" w:rsidRPr="00971F51" w:rsidRDefault="00F34828" w:rsidP="00774887">
            <w:pPr>
              <w:jc w:val="both"/>
              <w:rPr>
                <w:rFonts w:ascii="Arial" w:hAnsi="Arial" w:cs="Arial"/>
                <w:color w:val="000000"/>
                <w:lang w:eastAsia="es-CL"/>
              </w:rPr>
            </w:pPr>
            <w:r w:rsidRPr="00971F51">
              <w:rPr>
                <w:rFonts w:ascii="Arial" w:hAnsi="Arial" w:cs="Arial"/>
                <w:color w:val="000000"/>
                <w:lang w:eastAsia="es-CL"/>
              </w:rPr>
              <w:t xml:space="preserve">Sobre la parte del </w:t>
            </w:r>
            <w:r w:rsidR="00F44D99" w:rsidRPr="00971F51">
              <w:rPr>
                <w:rFonts w:ascii="Arial" w:hAnsi="Arial" w:cs="Arial"/>
                <w:color w:val="000000"/>
                <w:lang w:eastAsia="es-CL"/>
              </w:rPr>
              <w:t xml:space="preserve">MOM </w:t>
            </w:r>
            <w:r w:rsidRPr="00971F51">
              <w:rPr>
                <w:rFonts w:ascii="Arial" w:hAnsi="Arial" w:cs="Arial"/>
                <w:color w:val="000000"/>
                <w:lang w:eastAsia="es-CL"/>
              </w:rPr>
              <w:t>que exceda de 60 y no sobrepase de 65.</w:t>
            </w:r>
          </w:p>
        </w:tc>
        <w:tc>
          <w:tcPr>
            <w:tcW w:w="1120" w:type="dxa"/>
            <w:tcBorders>
              <w:top w:val="single" w:sz="8" w:space="0" w:color="auto"/>
              <w:left w:val="nil"/>
              <w:bottom w:val="nil"/>
              <w:right w:val="single" w:sz="8" w:space="0" w:color="auto"/>
            </w:tcBorders>
            <w:shd w:val="clear" w:color="000000" w:fill="FFFFFF"/>
            <w:vAlign w:val="center"/>
            <w:hideMark/>
          </w:tcPr>
          <w:p w:rsidR="00F34828" w:rsidRPr="00971F51" w:rsidRDefault="00F34828" w:rsidP="00774887">
            <w:pPr>
              <w:jc w:val="center"/>
              <w:rPr>
                <w:rFonts w:ascii="Arial" w:hAnsi="Arial" w:cs="Arial"/>
                <w:color w:val="000000"/>
                <w:lang w:eastAsia="es-CL"/>
              </w:rPr>
            </w:pPr>
            <w:r w:rsidRPr="00971F51">
              <w:rPr>
                <w:rFonts w:ascii="Arial" w:hAnsi="Arial" w:cs="Arial"/>
                <w:color w:val="000000"/>
                <w:lang w:eastAsia="es-CL"/>
              </w:rPr>
              <w:t>21,0%</w:t>
            </w:r>
          </w:p>
        </w:tc>
        <w:tc>
          <w:tcPr>
            <w:tcW w:w="36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r w:rsidR="00F34828" w:rsidRPr="00971F51" w:rsidTr="00774887">
        <w:trPr>
          <w:trHeight w:val="615"/>
        </w:trPr>
        <w:tc>
          <w:tcPr>
            <w:tcW w:w="34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6300" w:type="dxa"/>
            <w:tcBorders>
              <w:top w:val="single" w:sz="8" w:space="0" w:color="auto"/>
              <w:left w:val="single" w:sz="8" w:space="0" w:color="auto"/>
              <w:bottom w:val="single" w:sz="8" w:space="0" w:color="auto"/>
              <w:right w:val="single" w:sz="8" w:space="0" w:color="auto"/>
            </w:tcBorders>
            <w:shd w:val="clear" w:color="000000" w:fill="FFFFFF"/>
            <w:hideMark/>
          </w:tcPr>
          <w:p w:rsidR="00F34828" w:rsidRPr="00971F51" w:rsidRDefault="00F34828" w:rsidP="00774887">
            <w:pPr>
              <w:jc w:val="both"/>
              <w:rPr>
                <w:rFonts w:ascii="Arial" w:hAnsi="Arial" w:cs="Arial"/>
                <w:color w:val="000000"/>
                <w:lang w:eastAsia="es-CL"/>
              </w:rPr>
            </w:pPr>
            <w:r w:rsidRPr="00971F51">
              <w:rPr>
                <w:rFonts w:ascii="Arial" w:hAnsi="Arial" w:cs="Arial"/>
                <w:color w:val="000000"/>
                <w:lang w:eastAsia="es-CL"/>
              </w:rPr>
              <w:t xml:space="preserve">Sobre la parte del </w:t>
            </w:r>
            <w:r w:rsidR="00F44D99" w:rsidRPr="00971F51">
              <w:rPr>
                <w:rFonts w:ascii="Arial" w:hAnsi="Arial" w:cs="Arial"/>
                <w:color w:val="000000"/>
                <w:lang w:eastAsia="es-CL"/>
              </w:rPr>
              <w:t>MOM</w:t>
            </w:r>
            <w:r w:rsidRPr="00971F51">
              <w:rPr>
                <w:rFonts w:ascii="Arial" w:hAnsi="Arial" w:cs="Arial"/>
                <w:color w:val="000000"/>
                <w:lang w:eastAsia="es-CL"/>
              </w:rPr>
              <w:t xml:space="preserve"> que exceda de 65 y no sobrepase de 70.</w:t>
            </w:r>
          </w:p>
        </w:tc>
        <w:tc>
          <w:tcPr>
            <w:tcW w:w="1120" w:type="dxa"/>
            <w:tcBorders>
              <w:top w:val="single" w:sz="8" w:space="0" w:color="auto"/>
              <w:left w:val="nil"/>
              <w:bottom w:val="single" w:sz="8" w:space="0" w:color="auto"/>
              <w:right w:val="single" w:sz="8" w:space="0" w:color="auto"/>
            </w:tcBorders>
            <w:shd w:val="clear" w:color="000000" w:fill="FFFFFF"/>
            <w:vAlign w:val="center"/>
            <w:hideMark/>
          </w:tcPr>
          <w:p w:rsidR="00F34828" w:rsidRPr="00971F51" w:rsidRDefault="00F34828" w:rsidP="00774887">
            <w:pPr>
              <w:jc w:val="center"/>
              <w:rPr>
                <w:rFonts w:ascii="Arial" w:hAnsi="Arial" w:cs="Arial"/>
                <w:color w:val="000000"/>
                <w:lang w:eastAsia="es-CL"/>
              </w:rPr>
            </w:pPr>
            <w:r w:rsidRPr="00971F51">
              <w:rPr>
                <w:rFonts w:ascii="Arial" w:hAnsi="Arial" w:cs="Arial"/>
                <w:color w:val="000000"/>
                <w:lang w:eastAsia="es-CL"/>
              </w:rPr>
              <w:t>24,0%</w:t>
            </w:r>
          </w:p>
        </w:tc>
        <w:tc>
          <w:tcPr>
            <w:tcW w:w="36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r w:rsidR="00F34828" w:rsidRPr="00971F51" w:rsidTr="00774887">
        <w:trPr>
          <w:trHeight w:val="630"/>
        </w:trPr>
        <w:tc>
          <w:tcPr>
            <w:tcW w:w="34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6300" w:type="dxa"/>
            <w:tcBorders>
              <w:top w:val="nil"/>
              <w:left w:val="single" w:sz="8" w:space="0" w:color="auto"/>
              <w:bottom w:val="single" w:sz="8" w:space="0" w:color="auto"/>
              <w:right w:val="single" w:sz="8" w:space="0" w:color="auto"/>
            </w:tcBorders>
            <w:shd w:val="clear" w:color="000000" w:fill="FFFFFF"/>
            <w:hideMark/>
          </w:tcPr>
          <w:p w:rsidR="00F34828" w:rsidRPr="00971F51" w:rsidRDefault="00F34828" w:rsidP="00774887">
            <w:pPr>
              <w:jc w:val="both"/>
              <w:rPr>
                <w:rFonts w:ascii="Arial" w:hAnsi="Arial" w:cs="Arial"/>
                <w:color w:val="000000"/>
                <w:lang w:eastAsia="es-CL"/>
              </w:rPr>
            </w:pPr>
            <w:r w:rsidRPr="00971F51">
              <w:rPr>
                <w:rFonts w:ascii="Arial" w:hAnsi="Arial" w:cs="Arial"/>
                <w:color w:val="000000"/>
                <w:lang w:eastAsia="es-CL"/>
              </w:rPr>
              <w:t xml:space="preserve">Sobre la parte del </w:t>
            </w:r>
            <w:r w:rsidR="00F44D99" w:rsidRPr="00971F51">
              <w:rPr>
                <w:rFonts w:ascii="Arial" w:hAnsi="Arial" w:cs="Arial"/>
                <w:color w:val="000000"/>
                <w:lang w:eastAsia="es-CL"/>
              </w:rPr>
              <w:t xml:space="preserve">MOM </w:t>
            </w:r>
            <w:r w:rsidRPr="00971F51">
              <w:rPr>
                <w:rFonts w:ascii="Arial" w:hAnsi="Arial" w:cs="Arial"/>
                <w:color w:val="000000"/>
                <w:lang w:eastAsia="es-CL"/>
              </w:rPr>
              <w:t>que exceda de 70 y no sobrepase de 75.</w:t>
            </w:r>
          </w:p>
        </w:tc>
        <w:tc>
          <w:tcPr>
            <w:tcW w:w="1120" w:type="dxa"/>
            <w:tcBorders>
              <w:top w:val="nil"/>
              <w:left w:val="nil"/>
              <w:bottom w:val="single" w:sz="8" w:space="0" w:color="auto"/>
              <w:right w:val="single" w:sz="8" w:space="0" w:color="auto"/>
            </w:tcBorders>
            <w:shd w:val="clear" w:color="000000" w:fill="FFFFFF"/>
            <w:vAlign w:val="center"/>
            <w:hideMark/>
          </w:tcPr>
          <w:p w:rsidR="00F34828" w:rsidRPr="00971F51" w:rsidRDefault="00F34828" w:rsidP="00774887">
            <w:pPr>
              <w:jc w:val="center"/>
              <w:rPr>
                <w:rFonts w:ascii="Arial" w:hAnsi="Arial" w:cs="Arial"/>
                <w:color w:val="000000"/>
                <w:lang w:eastAsia="es-CL"/>
              </w:rPr>
            </w:pPr>
            <w:r w:rsidRPr="00971F51">
              <w:rPr>
                <w:rFonts w:ascii="Arial" w:hAnsi="Arial" w:cs="Arial"/>
                <w:color w:val="000000"/>
                <w:lang w:eastAsia="es-CL"/>
              </w:rPr>
              <w:t>27,5%</w:t>
            </w:r>
          </w:p>
        </w:tc>
        <w:tc>
          <w:tcPr>
            <w:tcW w:w="36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r w:rsidR="00F34828" w:rsidRPr="00971F51" w:rsidTr="00774887">
        <w:trPr>
          <w:trHeight w:val="600"/>
        </w:trPr>
        <w:tc>
          <w:tcPr>
            <w:tcW w:w="34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6300" w:type="dxa"/>
            <w:tcBorders>
              <w:top w:val="nil"/>
              <w:left w:val="single" w:sz="8" w:space="0" w:color="auto"/>
              <w:bottom w:val="single" w:sz="8" w:space="0" w:color="auto"/>
              <w:right w:val="single" w:sz="8" w:space="0" w:color="auto"/>
            </w:tcBorders>
            <w:shd w:val="clear" w:color="000000" w:fill="FFFFFF"/>
            <w:hideMark/>
          </w:tcPr>
          <w:p w:rsidR="00F34828" w:rsidRPr="00971F51" w:rsidRDefault="00F34828" w:rsidP="00774887">
            <w:pPr>
              <w:jc w:val="both"/>
              <w:rPr>
                <w:rFonts w:ascii="Arial" w:hAnsi="Arial" w:cs="Arial"/>
                <w:color w:val="000000"/>
                <w:lang w:eastAsia="es-CL"/>
              </w:rPr>
            </w:pPr>
            <w:r w:rsidRPr="00971F51">
              <w:rPr>
                <w:rFonts w:ascii="Arial" w:hAnsi="Arial" w:cs="Arial"/>
                <w:color w:val="000000"/>
                <w:lang w:eastAsia="es-CL"/>
              </w:rPr>
              <w:t xml:space="preserve">Sobre la parte del </w:t>
            </w:r>
            <w:r w:rsidR="00F44D99" w:rsidRPr="00971F51">
              <w:rPr>
                <w:rFonts w:ascii="Arial" w:hAnsi="Arial" w:cs="Arial"/>
                <w:color w:val="000000"/>
                <w:lang w:eastAsia="es-CL"/>
              </w:rPr>
              <w:t xml:space="preserve">MOM </w:t>
            </w:r>
            <w:r w:rsidRPr="00971F51">
              <w:rPr>
                <w:rFonts w:ascii="Arial" w:hAnsi="Arial" w:cs="Arial"/>
                <w:color w:val="000000"/>
                <w:lang w:eastAsia="es-CL"/>
              </w:rPr>
              <w:t>que exceda de 75 y no sobrepase de 80.</w:t>
            </w:r>
          </w:p>
        </w:tc>
        <w:tc>
          <w:tcPr>
            <w:tcW w:w="1120" w:type="dxa"/>
            <w:tcBorders>
              <w:top w:val="nil"/>
              <w:left w:val="nil"/>
              <w:bottom w:val="single" w:sz="8" w:space="0" w:color="auto"/>
              <w:right w:val="single" w:sz="8" w:space="0" w:color="auto"/>
            </w:tcBorders>
            <w:shd w:val="clear" w:color="000000" w:fill="FFFFFF"/>
            <w:vAlign w:val="center"/>
            <w:hideMark/>
          </w:tcPr>
          <w:p w:rsidR="00F34828" w:rsidRPr="00971F51" w:rsidRDefault="00F34828" w:rsidP="00774887">
            <w:pPr>
              <w:jc w:val="center"/>
              <w:rPr>
                <w:rFonts w:ascii="Arial" w:hAnsi="Arial" w:cs="Arial"/>
                <w:color w:val="000000"/>
                <w:lang w:eastAsia="es-CL"/>
              </w:rPr>
            </w:pPr>
            <w:r w:rsidRPr="00971F51">
              <w:rPr>
                <w:rFonts w:ascii="Arial" w:hAnsi="Arial" w:cs="Arial"/>
                <w:color w:val="000000"/>
                <w:lang w:eastAsia="es-CL"/>
              </w:rPr>
              <w:t>31,0%</w:t>
            </w:r>
          </w:p>
        </w:tc>
        <w:tc>
          <w:tcPr>
            <w:tcW w:w="36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r w:rsidR="00F34828" w:rsidRPr="00971F51" w:rsidTr="00774887">
        <w:trPr>
          <w:trHeight w:val="585"/>
        </w:trPr>
        <w:tc>
          <w:tcPr>
            <w:tcW w:w="34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6300" w:type="dxa"/>
            <w:tcBorders>
              <w:top w:val="nil"/>
              <w:left w:val="single" w:sz="8" w:space="0" w:color="auto"/>
              <w:bottom w:val="single" w:sz="8" w:space="0" w:color="auto"/>
              <w:right w:val="single" w:sz="8" w:space="0" w:color="auto"/>
            </w:tcBorders>
            <w:shd w:val="clear" w:color="000000" w:fill="FFFFFF"/>
            <w:hideMark/>
          </w:tcPr>
          <w:p w:rsidR="00F34828" w:rsidRPr="00971F51" w:rsidRDefault="00F34828" w:rsidP="00774887">
            <w:pPr>
              <w:jc w:val="both"/>
              <w:rPr>
                <w:rFonts w:ascii="Arial" w:hAnsi="Arial" w:cs="Arial"/>
                <w:color w:val="000000"/>
                <w:lang w:eastAsia="es-CL"/>
              </w:rPr>
            </w:pPr>
            <w:r w:rsidRPr="00971F51">
              <w:rPr>
                <w:rFonts w:ascii="Arial" w:hAnsi="Arial" w:cs="Arial"/>
                <w:color w:val="000000"/>
                <w:lang w:eastAsia="es-CL"/>
              </w:rPr>
              <w:t xml:space="preserve">Sobre la parte del </w:t>
            </w:r>
            <w:r w:rsidR="00F44D99" w:rsidRPr="00971F51">
              <w:rPr>
                <w:rFonts w:ascii="Arial" w:hAnsi="Arial" w:cs="Arial"/>
                <w:color w:val="000000"/>
                <w:lang w:eastAsia="es-CL"/>
              </w:rPr>
              <w:t xml:space="preserve">MOM </w:t>
            </w:r>
            <w:r w:rsidRPr="00971F51">
              <w:rPr>
                <w:rFonts w:ascii="Arial" w:hAnsi="Arial" w:cs="Arial"/>
                <w:color w:val="000000"/>
                <w:lang w:eastAsia="es-CL"/>
              </w:rPr>
              <w:t>que exceda de 80 y no sobrepase de 85.</w:t>
            </w:r>
          </w:p>
        </w:tc>
        <w:tc>
          <w:tcPr>
            <w:tcW w:w="1120" w:type="dxa"/>
            <w:tcBorders>
              <w:top w:val="nil"/>
              <w:left w:val="nil"/>
              <w:bottom w:val="single" w:sz="8" w:space="0" w:color="auto"/>
              <w:right w:val="single" w:sz="8" w:space="0" w:color="auto"/>
            </w:tcBorders>
            <w:shd w:val="clear" w:color="000000" w:fill="FFFFFF"/>
            <w:vAlign w:val="center"/>
            <w:hideMark/>
          </w:tcPr>
          <w:p w:rsidR="00F34828" w:rsidRPr="00971F51" w:rsidRDefault="00F34828" w:rsidP="00774887">
            <w:pPr>
              <w:jc w:val="center"/>
              <w:rPr>
                <w:rFonts w:ascii="Arial" w:hAnsi="Arial" w:cs="Arial"/>
                <w:color w:val="000000"/>
                <w:lang w:eastAsia="es-CL"/>
              </w:rPr>
            </w:pPr>
            <w:r w:rsidRPr="00971F51">
              <w:rPr>
                <w:rFonts w:ascii="Arial" w:hAnsi="Arial" w:cs="Arial"/>
                <w:color w:val="000000"/>
                <w:lang w:eastAsia="es-CL"/>
              </w:rPr>
              <w:t>34,5%</w:t>
            </w:r>
          </w:p>
        </w:tc>
        <w:tc>
          <w:tcPr>
            <w:tcW w:w="36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r w:rsidR="00F34828" w:rsidRPr="00971F51" w:rsidTr="00774887">
        <w:trPr>
          <w:trHeight w:val="390"/>
        </w:trPr>
        <w:tc>
          <w:tcPr>
            <w:tcW w:w="34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6300" w:type="dxa"/>
            <w:tcBorders>
              <w:top w:val="nil"/>
              <w:left w:val="single" w:sz="8" w:space="0" w:color="auto"/>
              <w:bottom w:val="single" w:sz="8" w:space="0" w:color="auto"/>
              <w:right w:val="single" w:sz="8" w:space="0" w:color="auto"/>
            </w:tcBorders>
            <w:shd w:val="clear" w:color="000000" w:fill="FFFFFF"/>
            <w:hideMark/>
          </w:tcPr>
          <w:p w:rsidR="00F34828" w:rsidRPr="00971F51" w:rsidRDefault="00F34828" w:rsidP="00774887">
            <w:pPr>
              <w:jc w:val="both"/>
              <w:rPr>
                <w:rFonts w:ascii="Arial" w:hAnsi="Arial" w:cs="Arial"/>
                <w:color w:val="000000"/>
                <w:lang w:eastAsia="es-CL"/>
              </w:rPr>
            </w:pPr>
            <w:r w:rsidRPr="00971F51">
              <w:rPr>
                <w:rFonts w:ascii="Arial" w:hAnsi="Arial" w:cs="Arial"/>
                <w:color w:val="000000"/>
                <w:lang w:eastAsia="es-CL"/>
              </w:rPr>
              <w:t xml:space="preserve">Si el </w:t>
            </w:r>
            <w:r w:rsidR="00F44D99" w:rsidRPr="00971F51">
              <w:rPr>
                <w:rFonts w:ascii="Arial" w:hAnsi="Arial" w:cs="Arial"/>
                <w:color w:val="000000"/>
                <w:lang w:eastAsia="es-CL"/>
              </w:rPr>
              <w:t xml:space="preserve">MOM </w:t>
            </w:r>
            <w:r w:rsidRPr="00971F51">
              <w:rPr>
                <w:rFonts w:ascii="Arial" w:hAnsi="Arial" w:cs="Arial"/>
                <w:color w:val="000000"/>
                <w:lang w:eastAsia="es-CL"/>
              </w:rPr>
              <w:t>excede de 85.</w:t>
            </w:r>
          </w:p>
        </w:tc>
        <w:tc>
          <w:tcPr>
            <w:tcW w:w="1120" w:type="dxa"/>
            <w:tcBorders>
              <w:top w:val="nil"/>
              <w:left w:val="nil"/>
              <w:bottom w:val="single" w:sz="8" w:space="0" w:color="auto"/>
              <w:right w:val="single" w:sz="8" w:space="0" w:color="auto"/>
            </w:tcBorders>
            <w:shd w:val="clear" w:color="000000" w:fill="FFFFFF"/>
            <w:vAlign w:val="center"/>
            <w:hideMark/>
          </w:tcPr>
          <w:p w:rsidR="00F34828" w:rsidRPr="00971F51" w:rsidRDefault="00F34828" w:rsidP="00774887">
            <w:pPr>
              <w:jc w:val="center"/>
              <w:rPr>
                <w:rFonts w:ascii="Arial" w:hAnsi="Arial" w:cs="Arial"/>
                <w:color w:val="000000"/>
                <w:lang w:eastAsia="es-CL"/>
              </w:rPr>
            </w:pPr>
            <w:r w:rsidRPr="00971F51">
              <w:rPr>
                <w:rFonts w:ascii="Arial" w:hAnsi="Arial" w:cs="Arial"/>
                <w:color w:val="000000"/>
                <w:lang w:eastAsia="es-CL"/>
              </w:rPr>
              <w:t>14,0%</w:t>
            </w:r>
          </w:p>
        </w:tc>
        <w:tc>
          <w:tcPr>
            <w:tcW w:w="36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r w:rsidR="00F34828" w:rsidRPr="00971F51" w:rsidTr="00774887">
        <w:trPr>
          <w:trHeight w:val="300"/>
        </w:trPr>
        <w:tc>
          <w:tcPr>
            <w:tcW w:w="34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630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112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c>
          <w:tcPr>
            <w:tcW w:w="360" w:type="dxa"/>
            <w:tcBorders>
              <w:top w:val="nil"/>
              <w:left w:val="nil"/>
              <w:bottom w:val="nil"/>
              <w:right w:val="nil"/>
            </w:tcBorders>
            <w:shd w:val="clear" w:color="000000" w:fill="FFFFFF"/>
            <w:hideMark/>
          </w:tcPr>
          <w:p w:rsidR="00F34828" w:rsidRPr="00971F51" w:rsidRDefault="00F34828" w:rsidP="00774887">
            <w:pPr>
              <w:rPr>
                <w:rFonts w:ascii="Arial" w:hAnsi="Arial" w:cs="Arial"/>
                <w:color w:val="000000"/>
                <w:lang w:eastAsia="es-CL"/>
              </w:rPr>
            </w:pPr>
            <w:r w:rsidRPr="00971F51">
              <w:rPr>
                <w:rFonts w:ascii="Arial" w:hAnsi="Arial" w:cs="Arial"/>
                <w:color w:val="000000"/>
                <w:lang w:eastAsia="es-CL"/>
              </w:rPr>
              <w:t> </w:t>
            </w:r>
          </w:p>
        </w:tc>
      </w:tr>
    </w:tbl>
    <w:p w:rsidR="00F34828" w:rsidRDefault="00F34828" w:rsidP="00F34828">
      <w:pPr>
        <w:jc w:val="center"/>
        <w:rPr>
          <w:rFonts w:ascii="Arial" w:hAnsi="Arial" w:cs="Arial"/>
          <w:b/>
          <w:sz w:val="24"/>
          <w:szCs w:val="24"/>
        </w:rPr>
      </w:pPr>
    </w:p>
    <w:p w:rsidR="00F34828" w:rsidRDefault="00F34828" w:rsidP="00F34828">
      <w:pPr>
        <w:jc w:val="center"/>
        <w:rPr>
          <w:rFonts w:ascii="Arial" w:hAnsi="Arial" w:cs="Arial"/>
          <w:b/>
          <w:sz w:val="24"/>
          <w:szCs w:val="24"/>
        </w:rPr>
      </w:pPr>
    </w:p>
    <w:p w:rsidR="00F34828" w:rsidRDefault="00F34828" w:rsidP="00F34828">
      <w:pPr>
        <w:jc w:val="center"/>
        <w:rPr>
          <w:rFonts w:ascii="Arial" w:hAnsi="Arial" w:cs="Arial"/>
          <w:b/>
          <w:sz w:val="24"/>
          <w:szCs w:val="24"/>
        </w:rPr>
      </w:pPr>
    </w:p>
    <w:p w:rsidR="00F34828" w:rsidRDefault="00F34828" w:rsidP="00F34828">
      <w:pPr>
        <w:jc w:val="center"/>
        <w:rPr>
          <w:rFonts w:ascii="Arial" w:hAnsi="Arial" w:cs="Arial"/>
          <w:b/>
          <w:sz w:val="24"/>
          <w:szCs w:val="24"/>
        </w:rPr>
      </w:pPr>
    </w:p>
    <w:p w:rsidR="00F34828" w:rsidRDefault="00F34828" w:rsidP="00F34828">
      <w:pPr>
        <w:jc w:val="center"/>
        <w:rPr>
          <w:rFonts w:ascii="Arial" w:hAnsi="Arial" w:cs="Arial"/>
          <w:b/>
          <w:sz w:val="24"/>
          <w:szCs w:val="24"/>
        </w:rPr>
      </w:pPr>
    </w:p>
    <w:p w:rsidR="00F34828" w:rsidRDefault="00F34828" w:rsidP="00F34828">
      <w:pPr>
        <w:jc w:val="center"/>
        <w:rPr>
          <w:rFonts w:ascii="Arial" w:hAnsi="Arial" w:cs="Arial"/>
          <w:b/>
          <w:sz w:val="24"/>
          <w:szCs w:val="24"/>
        </w:rPr>
      </w:pPr>
    </w:p>
    <w:p w:rsidR="00F34828" w:rsidRDefault="00F34828" w:rsidP="00F34828">
      <w:pPr>
        <w:jc w:val="center"/>
        <w:rPr>
          <w:rFonts w:ascii="Arial" w:hAnsi="Arial" w:cs="Arial"/>
          <w:b/>
          <w:sz w:val="24"/>
          <w:szCs w:val="24"/>
        </w:rPr>
      </w:pPr>
    </w:p>
    <w:p w:rsidR="00F34828" w:rsidRDefault="00F34828" w:rsidP="00F34828">
      <w:pPr>
        <w:jc w:val="center"/>
        <w:rPr>
          <w:rFonts w:ascii="Arial" w:hAnsi="Arial" w:cs="Arial"/>
          <w:b/>
          <w:sz w:val="24"/>
          <w:szCs w:val="24"/>
        </w:rPr>
      </w:pPr>
    </w:p>
    <w:p w:rsidR="00F34828" w:rsidRDefault="00F34828" w:rsidP="00F34828">
      <w:pPr>
        <w:jc w:val="center"/>
        <w:rPr>
          <w:rFonts w:ascii="Arial" w:hAnsi="Arial" w:cs="Arial"/>
          <w:b/>
          <w:sz w:val="24"/>
          <w:szCs w:val="24"/>
        </w:rPr>
      </w:pPr>
    </w:p>
    <w:p w:rsidR="00F34828" w:rsidRDefault="00F34828" w:rsidP="00F34828">
      <w:pPr>
        <w:jc w:val="center"/>
        <w:rPr>
          <w:rFonts w:ascii="Arial" w:hAnsi="Arial" w:cs="Arial"/>
          <w:b/>
          <w:sz w:val="24"/>
          <w:szCs w:val="24"/>
        </w:rPr>
      </w:pPr>
    </w:p>
    <w:p w:rsidR="00F34828" w:rsidRDefault="00F34828" w:rsidP="00F34828">
      <w:pPr>
        <w:jc w:val="center"/>
        <w:rPr>
          <w:rFonts w:ascii="Arial" w:hAnsi="Arial" w:cs="Arial"/>
          <w:b/>
          <w:sz w:val="24"/>
          <w:szCs w:val="24"/>
        </w:rPr>
      </w:pPr>
    </w:p>
    <w:p w:rsidR="00F34828" w:rsidRPr="00ED66AC" w:rsidRDefault="0012693D" w:rsidP="0012693D">
      <w:pPr>
        <w:ind w:left="2124"/>
        <w:rPr>
          <w:rFonts w:ascii="Arial" w:hAnsi="Arial" w:cs="Arial"/>
          <w:b/>
          <w:caps/>
        </w:rPr>
      </w:pPr>
      <w:r>
        <w:rPr>
          <w:rFonts w:ascii="Arial" w:hAnsi="Arial" w:cs="Arial"/>
          <w:b/>
          <w:caps/>
        </w:rPr>
        <w:br w:type="page"/>
      </w:r>
      <w:r w:rsidR="00F34828" w:rsidRPr="00ED66AC">
        <w:rPr>
          <w:rFonts w:ascii="Arial" w:hAnsi="Arial" w:cs="Arial"/>
          <w:b/>
          <w:caps/>
        </w:rPr>
        <w:t>Anexo N°3</w:t>
      </w:r>
      <w:r w:rsidR="00BC6BC3" w:rsidRPr="00ED66AC">
        <w:rPr>
          <w:rFonts w:ascii="Arial" w:hAnsi="Arial" w:cs="Arial"/>
          <w:b/>
          <w:caps/>
        </w:rPr>
        <w:t xml:space="preserve"> Normas de Relación.</w:t>
      </w:r>
    </w:p>
    <w:p w:rsidR="00F34828" w:rsidRPr="00834680" w:rsidRDefault="00F34828" w:rsidP="00F34828">
      <w:pPr>
        <w:jc w:val="center"/>
        <w:rPr>
          <w:rFonts w:ascii="Arial" w:hAnsi="Arial" w:cs="Arial"/>
          <w:b/>
          <w:sz w:val="24"/>
          <w:szCs w:val="24"/>
        </w:rPr>
      </w:pPr>
    </w:p>
    <w:p w:rsidR="00694968" w:rsidRPr="003029CE" w:rsidRDefault="006055D9" w:rsidP="00F34828">
      <w:pPr>
        <w:jc w:val="both"/>
        <w:rPr>
          <w:rFonts w:ascii="Arial" w:hAnsi="Arial" w:cs="Arial"/>
          <w:b/>
        </w:rPr>
      </w:pPr>
      <w:r>
        <w:rPr>
          <w:rFonts w:ascii="Arial" w:hAnsi="Arial" w:cs="Arial"/>
          <w:b/>
        </w:rPr>
        <w:t xml:space="preserve">1.- </w:t>
      </w:r>
      <w:r w:rsidR="009906D5">
        <w:rPr>
          <w:rFonts w:ascii="Arial" w:hAnsi="Arial" w:cs="Arial"/>
          <w:b/>
        </w:rPr>
        <w:t xml:space="preserve">Determinación del valor total de ventas anuales de </w:t>
      </w:r>
      <w:r w:rsidR="003029CE" w:rsidRPr="003029CE">
        <w:rPr>
          <w:rFonts w:ascii="Arial" w:hAnsi="Arial" w:cs="Arial"/>
          <w:b/>
        </w:rPr>
        <w:t>PM</w:t>
      </w:r>
      <w:r w:rsidR="009906D5">
        <w:rPr>
          <w:rFonts w:ascii="Arial" w:hAnsi="Arial" w:cs="Arial"/>
          <w:b/>
        </w:rPr>
        <w:t xml:space="preserve"> en el caso en que el EM se encuentre relacionado con otros </w:t>
      </w:r>
      <w:r w:rsidR="003029CE" w:rsidRPr="003029CE">
        <w:rPr>
          <w:rFonts w:ascii="Arial" w:hAnsi="Arial" w:cs="Arial"/>
          <w:b/>
        </w:rPr>
        <w:t>EM.</w:t>
      </w:r>
    </w:p>
    <w:p w:rsidR="00694968" w:rsidRPr="003029CE" w:rsidRDefault="00694968" w:rsidP="00F34828">
      <w:pPr>
        <w:jc w:val="both"/>
        <w:rPr>
          <w:rFonts w:ascii="Arial" w:hAnsi="Arial" w:cs="Arial"/>
          <w:b/>
        </w:rPr>
      </w:pPr>
    </w:p>
    <w:p w:rsidR="0088367F" w:rsidRDefault="001440EC" w:rsidP="00F34828">
      <w:pPr>
        <w:jc w:val="both"/>
        <w:rPr>
          <w:rFonts w:ascii="Arial" w:hAnsi="Arial" w:cs="Arial"/>
          <w:b/>
        </w:rPr>
      </w:pPr>
      <w:r>
        <w:rPr>
          <w:rFonts w:ascii="Arial" w:hAnsi="Arial" w:cs="Arial"/>
        </w:rPr>
        <w:t>En estos casos, p</w:t>
      </w:r>
      <w:r w:rsidR="0088367F" w:rsidRPr="0088367F">
        <w:rPr>
          <w:rFonts w:ascii="Arial" w:hAnsi="Arial" w:cs="Arial"/>
        </w:rPr>
        <w:t xml:space="preserve">ara </w:t>
      </w:r>
      <w:r w:rsidR="0088367F">
        <w:rPr>
          <w:rFonts w:ascii="Arial" w:hAnsi="Arial" w:cs="Arial"/>
        </w:rPr>
        <w:t xml:space="preserve">los efectos de determinar el régimen tributario aplicable </w:t>
      </w:r>
      <w:r w:rsidR="003029CE">
        <w:rPr>
          <w:rFonts w:ascii="Arial" w:hAnsi="Arial" w:cs="Arial"/>
        </w:rPr>
        <w:t xml:space="preserve">con el IEM </w:t>
      </w:r>
      <w:r w:rsidR="0088367F">
        <w:rPr>
          <w:rFonts w:ascii="Arial" w:hAnsi="Arial" w:cs="Arial"/>
        </w:rPr>
        <w:t xml:space="preserve">conforme a lo dispuesto en el </w:t>
      </w:r>
      <w:r w:rsidR="00DB1BE0">
        <w:rPr>
          <w:rFonts w:ascii="Arial" w:hAnsi="Arial" w:cs="Arial"/>
        </w:rPr>
        <w:t>artículo 64 bis de la LIR,</w:t>
      </w:r>
      <w:r w:rsidR="0088367F">
        <w:rPr>
          <w:rFonts w:ascii="Arial" w:hAnsi="Arial" w:cs="Arial"/>
        </w:rPr>
        <w:t xml:space="preserve"> </w:t>
      </w:r>
      <w:r w:rsidR="000E706D">
        <w:rPr>
          <w:rFonts w:ascii="Arial" w:hAnsi="Arial" w:cs="Arial"/>
        </w:rPr>
        <w:t xml:space="preserve">se deberá considerar el valor total de venta de PM del conjunto de personas relacionadas con el EM, que puedan ser consideradas </w:t>
      </w:r>
      <w:r>
        <w:rPr>
          <w:rFonts w:ascii="Arial" w:hAnsi="Arial" w:cs="Arial"/>
        </w:rPr>
        <w:t xml:space="preserve">a su vez, </w:t>
      </w:r>
      <w:r w:rsidR="000E706D">
        <w:rPr>
          <w:rFonts w:ascii="Arial" w:hAnsi="Arial" w:cs="Arial"/>
        </w:rPr>
        <w:t>EM de acuerdo al N°1, del inciso 2°, de</w:t>
      </w:r>
      <w:r w:rsidR="00DB1BE0">
        <w:rPr>
          <w:rFonts w:ascii="Arial" w:hAnsi="Arial" w:cs="Arial"/>
        </w:rPr>
        <w:t xml:space="preserve"> </w:t>
      </w:r>
      <w:r w:rsidR="000E706D">
        <w:rPr>
          <w:rFonts w:ascii="Arial" w:hAnsi="Arial" w:cs="Arial"/>
        </w:rPr>
        <w:t>l</w:t>
      </w:r>
      <w:r w:rsidR="00DB1BE0">
        <w:rPr>
          <w:rFonts w:ascii="Arial" w:hAnsi="Arial" w:cs="Arial"/>
        </w:rPr>
        <w:t>a disposición citada, en cuanto</w:t>
      </w:r>
      <w:r w:rsidR="000E706D">
        <w:rPr>
          <w:rFonts w:ascii="Arial" w:hAnsi="Arial" w:cs="Arial"/>
        </w:rPr>
        <w:t xml:space="preserve"> realicen dichas ventas </w:t>
      </w:r>
      <w:r w:rsidR="000E706D" w:rsidRPr="000E706D">
        <w:rPr>
          <w:rFonts w:ascii="Arial" w:hAnsi="Arial" w:cs="Arial"/>
          <w:b/>
        </w:rPr>
        <w:t>(Artículo 64 bis, inciso 3°, letra d), de la LIR).</w:t>
      </w:r>
      <w:r w:rsidR="00DB1BE0">
        <w:rPr>
          <w:rFonts w:ascii="Arial" w:hAnsi="Arial" w:cs="Arial"/>
          <w:b/>
        </w:rPr>
        <w:t xml:space="preserve"> </w:t>
      </w:r>
    </w:p>
    <w:p w:rsidR="00DB1BE0" w:rsidRDefault="00DB1BE0" w:rsidP="00F34828">
      <w:pPr>
        <w:jc w:val="both"/>
        <w:rPr>
          <w:rFonts w:ascii="Arial" w:hAnsi="Arial" w:cs="Arial"/>
          <w:b/>
        </w:rPr>
      </w:pPr>
    </w:p>
    <w:p w:rsidR="00AF3B07" w:rsidRDefault="00DB1BE0" w:rsidP="00F34828">
      <w:pPr>
        <w:jc w:val="both"/>
        <w:rPr>
          <w:rFonts w:ascii="Arial" w:hAnsi="Arial" w:cs="Arial"/>
        </w:rPr>
      </w:pPr>
      <w:r w:rsidRPr="00F07ADD">
        <w:rPr>
          <w:rFonts w:ascii="Arial" w:hAnsi="Arial" w:cs="Arial"/>
        </w:rPr>
        <w:t xml:space="preserve">En definitiva, tanto las ventas de PM del propio contribuyente EM, como las de sus personas relacionadas que también tengan ese carácter, </w:t>
      </w:r>
      <w:r w:rsidR="00F07ADD" w:rsidRPr="00F07ADD">
        <w:rPr>
          <w:rFonts w:ascii="Arial" w:hAnsi="Arial" w:cs="Arial"/>
        </w:rPr>
        <w:t>deberán considerarse para los efectos de establecer si el contribuyente quedará sujeto a lo dispuesto en las letras a), b) o c) del inciso 3°, del comentado artículo 64 bis de la LIR.</w:t>
      </w:r>
      <w:r w:rsidR="003A4BA7">
        <w:rPr>
          <w:rFonts w:ascii="Arial" w:hAnsi="Arial" w:cs="Arial"/>
        </w:rPr>
        <w:t xml:space="preserve"> </w:t>
      </w:r>
    </w:p>
    <w:p w:rsidR="00AF3B07" w:rsidRDefault="00AF3B07" w:rsidP="00F34828">
      <w:pPr>
        <w:jc w:val="both"/>
        <w:rPr>
          <w:rFonts w:ascii="Arial" w:hAnsi="Arial" w:cs="Arial"/>
        </w:rPr>
      </w:pPr>
    </w:p>
    <w:p w:rsidR="00AF3B07" w:rsidRPr="00AF3B07" w:rsidRDefault="00AF3B07" w:rsidP="00AF3B07">
      <w:pPr>
        <w:jc w:val="both"/>
        <w:rPr>
          <w:rFonts w:ascii="Arial" w:hAnsi="Arial" w:cs="Arial"/>
        </w:rPr>
      </w:pPr>
      <w:r w:rsidRPr="00AF3B07">
        <w:rPr>
          <w:rFonts w:ascii="Arial" w:hAnsi="Arial" w:cs="Arial"/>
        </w:rPr>
        <w:t xml:space="preserve">En el caso de la letra b) citada, el valor total de ventas anuales de PM así determinado, además de ser considerado para los efectos de establecer si resulta aplicable dicha letra, servirá para determinar el número de TMCF, y con él, la tasa del impuesto aplicable al EM, ello a diferencia de lo que sucede en el caso de la letra c), en que si bien tales ventas deben ser consideradas para determinar la aplicación del régimen que establece, la tasa del impuesto se determina considerando el MOM, en el que las ventas de PM de las personas relacionadas con el EM, no juegan rol alguno. </w:t>
      </w:r>
    </w:p>
    <w:p w:rsidR="00AF3B07" w:rsidRDefault="00AF3B07" w:rsidP="00F34828">
      <w:pPr>
        <w:jc w:val="both"/>
        <w:rPr>
          <w:rFonts w:ascii="Arial" w:hAnsi="Arial" w:cs="Arial"/>
        </w:rPr>
      </w:pPr>
    </w:p>
    <w:p w:rsidR="006055D9" w:rsidRPr="006055D9" w:rsidRDefault="006055D9" w:rsidP="006055D9">
      <w:pPr>
        <w:jc w:val="both"/>
        <w:rPr>
          <w:rFonts w:ascii="Arial" w:hAnsi="Arial" w:cs="Arial"/>
          <w:b/>
        </w:rPr>
      </w:pPr>
      <w:r w:rsidRPr="006055D9">
        <w:rPr>
          <w:rFonts w:ascii="Arial" w:hAnsi="Arial" w:cs="Arial"/>
          <w:b/>
        </w:rPr>
        <w:t>2.- Personas Relacionadas.</w:t>
      </w:r>
    </w:p>
    <w:p w:rsidR="006055D9" w:rsidRDefault="006055D9" w:rsidP="006055D9">
      <w:pPr>
        <w:jc w:val="both"/>
        <w:rPr>
          <w:rFonts w:ascii="Arial" w:hAnsi="Arial" w:cs="Arial"/>
        </w:rPr>
      </w:pPr>
    </w:p>
    <w:p w:rsidR="00AF3B07" w:rsidRPr="000C7F67" w:rsidRDefault="00AF3B07" w:rsidP="00AF3B07">
      <w:pPr>
        <w:jc w:val="both"/>
        <w:rPr>
          <w:rFonts w:ascii="Arial" w:hAnsi="Arial" w:cs="Arial"/>
        </w:rPr>
      </w:pPr>
      <w:r w:rsidRPr="000C7F67">
        <w:rPr>
          <w:rFonts w:ascii="Arial" w:hAnsi="Arial" w:cs="Arial"/>
        </w:rPr>
        <w:t xml:space="preserve">Para estos efectos, el inciso 4° del artículo 64 bis señala que se entenderá por personas relacionadas aquellas a que se refiere el numeral 2 del artículo 34 de la LIR. Por su parte, el inciso séptimo del N°2, del artículo 34, de la LIR establece que el concepto de persona relacionada con una sociedad se entenderá en los términos señalados en el artículo 20, N°1, letra b), de la LIR, disposición esta última que en su inciso 13°, describe los casos en que una persona está relacionada con una sociedad. Las instrucciones impartidas sobre esta materia mediante Circular 58 de 1990, son aplicables en este caso, con las adaptaciones </w:t>
      </w:r>
      <w:r w:rsidR="000C7F67" w:rsidRPr="000C7F67">
        <w:rPr>
          <w:rFonts w:ascii="Arial" w:hAnsi="Arial" w:cs="Arial"/>
        </w:rPr>
        <w:t xml:space="preserve"> que correspondan </w:t>
      </w:r>
      <w:r w:rsidRPr="000C7F67">
        <w:rPr>
          <w:rFonts w:ascii="Arial" w:hAnsi="Arial" w:cs="Arial"/>
        </w:rPr>
        <w:t>a l</w:t>
      </w:r>
      <w:r w:rsidR="000C7F67" w:rsidRPr="000C7F67">
        <w:rPr>
          <w:rFonts w:ascii="Arial" w:hAnsi="Arial" w:cs="Arial"/>
        </w:rPr>
        <w:t>o</w:t>
      </w:r>
      <w:r w:rsidRPr="000C7F67">
        <w:rPr>
          <w:rFonts w:ascii="Arial" w:hAnsi="Arial" w:cs="Arial"/>
        </w:rPr>
        <w:t xml:space="preserve"> disp</w:t>
      </w:r>
      <w:r w:rsidR="000C7F67" w:rsidRPr="000C7F67">
        <w:rPr>
          <w:rFonts w:ascii="Arial" w:hAnsi="Arial" w:cs="Arial"/>
        </w:rPr>
        <w:t>uesto por el</w:t>
      </w:r>
      <w:r w:rsidRPr="000C7F67">
        <w:rPr>
          <w:rFonts w:ascii="Arial" w:hAnsi="Arial" w:cs="Arial"/>
        </w:rPr>
        <w:t xml:space="preserve"> artículo 64 bis, de la LIR.</w:t>
      </w:r>
    </w:p>
    <w:p w:rsidR="006055D9" w:rsidRPr="000C7F67" w:rsidRDefault="006055D9" w:rsidP="006055D9">
      <w:pPr>
        <w:jc w:val="both"/>
        <w:rPr>
          <w:rFonts w:ascii="Arial" w:hAnsi="Arial" w:cs="Arial"/>
          <w:b/>
        </w:rPr>
      </w:pPr>
    </w:p>
    <w:p w:rsidR="006055D9" w:rsidRPr="006055D9" w:rsidRDefault="006055D9" w:rsidP="006055D9">
      <w:pPr>
        <w:jc w:val="both"/>
        <w:rPr>
          <w:rFonts w:ascii="Arial" w:hAnsi="Arial" w:cs="Arial"/>
          <w:b/>
        </w:rPr>
      </w:pPr>
      <w:r>
        <w:rPr>
          <w:rFonts w:ascii="Arial" w:hAnsi="Arial" w:cs="Arial"/>
          <w:b/>
        </w:rPr>
        <w:t xml:space="preserve">2.1.- </w:t>
      </w:r>
      <w:r w:rsidRPr="006055D9">
        <w:rPr>
          <w:rFonts w:ascii="Arial" w:hAnsi="Arial" w:cs="Arial"/>
          <w:b/>
        </w:rPr>
        <w:t xml:space="preserve">Análisis del inciso </w:t>
      </w:r>
      <w:r>
        <w:rPr>
          <w:rFonts w:ascii="Arial" w:hAnsi="Arial" w:cs="Arial"/>
          <w:b/>
        </w:rPr>
        <w:t>3°,</w:t>
      </w:r>
      <w:r w:rsidRPr="006055D9">
        <w:rPr>
          <w:rFonts w:ascii="Arial" w:hAnsi="Arial" w:cs="Arial"/>
          <w:b/>
        </w:rPr>
        <w:t xml:space="preserve"> del </w:t>
      </w:r>
      <w:r>
        <w:rPr>
          <w:rFonts w:ascii="Arial" w:hAnsi="Arial" w:cs="Arial"/>
          <w:b/>
        </w:rPr>
        <w:t>N°</w:t>
      </w:r>
      <w:r w:rsidRPr="006055D9">
        <w:rPr>
          <w:rFonts w:ascii="Arial" w:hAnsi="Arial" w:cs="Arial"/>
          <w:b/>
        </w:rPr>
        <w:t>2</w:t>
      </w:r>
      <w:r>
        <w:rPr>
          <w:rFonts w:ascii="Arial" w:hAnsi="Arial" w:cs="Arial"/>
          <w:b/>
        </w:rPr>
        <w:t>,</w:t>
      </w:r>
      <w:r w:rsidRPr="006055D9">
        <w:rPr>
          <w:rFonts w:ascii="Arial" w:hAnsi="Arial" w:cs="Arial"/>
          <w:b/>
        </w:rPr>
        <w:t xml:space="preserve"> del artículo 34</w:t>
      </w:r>
      <w:r>
        <w:rPr>
          <w:rFonts w:ascii="Arial" w:hAnsi="Arial" w:cs="Arial"/>
          <w:b/>
        </w:rPr>
        <w:t>,</w:t>
      </w:r>
      <w:r w:rsidRPr="006055D9">
        <w:rPr>
          <w:rFonts w:ascii="Arial" w:hAnsi="Arial" w:cs="Arial"/>
          <w:b/>
        </w:rPr>
        <w:t xml:space="preserve"> de la L</w:t>
      </w:r>
      <w:r>
        <w:rPr>
          <w:rFonts w:ascii="Arial" w:hAnsi="Arial" w:cs="Arial"/>
          <w:b/>
        </w:rPr>
        <w:t>IR.</w:t>
      </w:r>
    </w:p>
    <w:p w:rsidR="006055D9" w:rsidRPr="006055D9" w:rsidRDefault="006055D9" w:rsidP="006055D9">
      <w:pPr>
        <w:jc w:val="both"/>
        <w:rPr>
          <w:rFonts w:ascii="Arial" w:hAnsi="Arial" w:cs="Arial"/>
          <w:b/>
        </w:rPr>
      </w:pPr>
    </w:p>
    <w:p w:rsidR="006055D9" w:rsidRPr="00C077B9" w:rsidRDefault="006055D9" w:rsidP="006055D9">
      <w:pPr>
        <w:jc w:val="both"/>
        <w:rPr>
          <w:rFonts w:ascii="Arial" w:hAnsi="Arial" w:cs="Arial"/>
        </w:rPr>
      </w:pPr>
      <w:r w:rsidRPr="00C077B9">
        <w:rPr>
          <w:rFonts w:ascii="Arial" w:hAnsi="Arial" w:cs="Arial"/>
        </w:rPr>
        <w:t>Los EM</w:t>
      </w:r>
      <w:r w:rsidR="00412F51" w:rsidRPr="00C077B9">
        <w:rPr>
          <w:rFonts w:ascii="Arial" w:hAnsi="Arial" w:cs="Arial"/>
        </w:rPr>
        <w:t>, para determinar si se encuentra</w:t>
      </w:r>
      <w:r w:rsidRPr="00C077B9">
        <w:rPr>
          <w:rFonts w:ascii="Arial" w:hAnsi="Arial" w:cs="Arial"/>
        </w:rPr>
        <w:t xml:space="preserve">n relacionados con comunidades o sociedades que a su vez realicen actividades </w:t>
      </w:r>
      <w:r w:rsidR="006F1E40">
        <w:rPr>
          <w:rFonts w:ascii="Arial" w:hAnsi="Arial" w:cs="Arial"/>
        </w:rPr>
        <w:t>mineras</w:t>
      </w:r>
      <w:r w:rsidRPr="00C077B9">
        <w:rPr>
          <w:rFonts w:ascii="Arial" w:hAnsi="Arial" w:cs="Arial"/>
        </w:rPr>
        <w:t>, deben</w:t>
      </w:r>
      <w:r w:rsidR="00412F51" w:rsidRPr="00C077B9">
        <w:rPr>
          <w:rFonts w:ascii="Arial" w:hAnsi="Arial" w:cs="Arial"/>
        </w:rPr>
        <w:t xml:space="preserve"> evaluar los parámetros que establece el citado inciso 3°, del N°2, del artículo 34</w:t>
      </w:r>
      <w:r w:rsidR="00C077B9" w:rsidRPr="00C077B9">
        <w:rPr>
          <w:rFonts w:ascii="Arial" w:hAnsi="Arial" w:cs="Arial"/>
        </w:rPr>
        <w:t xml:space="preserve">, en relación con lo dispuesto en la letra b), del N° 1, del artículo 20, </w:t>
      </w:r>
      <w:r w:rsidR="007613BB">
        <w:rPr>
          <w:rFonts w:ascii="Arial" w:hAnsi="Arial" w:cs="Arial"/>
        </w:rPr>
        <w:t>todos</w:t>
      </w:r>
      <w:r w:rsidR="00C077B9" w:rsidRPr="00C077B9">
        <w:rPr>
          <w:rFonts w:ascii="Arial" w:hAnsi="Arial" w:cs="Arial"/>
        </w:rPr>
        <w:t xml:space="preserve"> de la LIR</w:t>
      </w:r>
      <w:r w:rsidRPr="00C077B9">
        <w:rPr>
          <w:rFonts w:ascii="Arial" w:hAnsi="Arial" w:cs="Arial"/>
        </w:rPr>
        <w:t>.</w:t>
      </w:r>
    </w:p>
    <w:p w:rsidR="006055D9" w:rsidRPr="006055D9" w:rsidRDefault="006055D9" w:rsidP="006055D9">
      <w:pPr>
        <w:jc w:val="both"/>
        <w:rPr>
          <w:rFonts w:ascii="Arial" w:hAnsi="Arial" w:cs="Arial"/>
          <w:b/>
        </w:rPr>
      </w:pPr>
    </w:p>
    <w:p w:rsidR="006055D9" w:rsidRPr="008A0723" w:rsidRDefault="008A0723" w:rsidP="006055D9">
      <w:pPr>
        <w:jc w:val="both"/>
        <w:rPr>
          <w:rFonts w:ascii="Arial" w:hAnsi="Arial" w:cs="Arial"/>
        </w:rPr>
      </w:pPr>
      <w:r w:rsidRPr="008A0723">
        <w:rPr>
          <w:rFonts w:ascii="Arial" w:hAnsi="Arial" w:cs="Arial"/>
        </w:rPr>
        <w:t>Si</w:t>
      </w:r>
      <w:r w:rsidR="006055D9" w:rsidRPr="008A0723">
        <w:rPr>
          <w:rFonts w:ascii="Arial" w:hAnsi="Arial" w:cs="Arial"/>
        </w:rPr>
        <w:t xml:space="preserve"> alguna de las sociedade</w:t>
      </w:r>
      <w:r>
        <w:rPr>
          <w:rFonts w:ascii="Arial" w:hAnsi="Arial" w:cs="Arial"/>
        </w:rPr>
        <w:t>s o comunidades con las que esté</w:t>
      </w:r>
      <w:r w:rsidR="006055D9" w:rsidRPr="008A0723">
        <w:rPr>
          <w:rFonts w:ascii="Arial" w:hAnsi="Arial" w:cs="Arial"/>
        </w:rPr>
        <w:t xml:space="preserve"> relacionado el </w:t>
      </w:r>
      <w:r>
        <w:rPr>
          <w:rFonts w:ascii="Arial" w:hAnsi="Arial" w:cs="Arial"/>
        </w:rPr>
        <w:t>EM, realiza</w:t>
      </w:r>
      <w:r w:rsidR="006055D9" w:rsidRPr="008A0723">
        <w:rPr>
          <w:rFonts w:ascii="Arial" w:hAnsi="Arial" w:cs="Arial"/>
        </w:rPr>
        <w:t xml:space="preserve"> simultáneamente actividades </w:t>
      </w:r>
      <w:r>
        <w:rPr>
          <w:rFonts w:ascii="Arial" w:hAnsi="Arial" w:cs="Arial"/>
        </w:rPr>
        <w:t xml:space="preserve">tanto </w:t>
      </w:r>
      <w:r w:rsidR="006055D9" w:rsidRPr="008A0723">
        <w:rPr>
          <w:rFonts w:ascii="Arial" w:hAnsi="Arial" w:cs="Arial"/>
        </w:rPr>
        <w:t xml:space="preserve">como </w:t>
      </w:r>
      <w:r>
        <w:rPr>
          <w:rFonts w:ascii="Arial" w:hAnsi="Arial" w:cs="Arial"/>
        </w:rPr>
        <w:t>EM</w:t>
      </w:r>
      <w:r w:rsidR="006055D9" w:rsidRPr="008A0723">
        <w:rPr>
          <w:rFonts w:ascii="Arial" w:hAnsi="Arial" w:cs="Arial"/>
        </w:rPr>
        <w:t xml:space="preserve"> </w:t>
      </w:r>
      <w:r>
        <w:rPr>
          <w:rFonts w:ascii="Arial" w:hAnsi="Arial" w:cs="Arial"/>
        </w:rPr>
        <w:t>y en otro carácter</w:t>
      </w:r>
      <w:r w:rsidR="006055D9" w:rsidRPr="008A0723">
        <w:rPr>
          <w:rFonts w:ascii="Arial" w:hAnsi="Arial" w:cs="Arial"/>
        </w:rPr>
        <w:t>, para los efectos de e</w:t>
      </w:r>
      <w:r>
        <w:rPr>
          <w:rFonts w:ascii="Arial" w:hAnsi="Arial" w:cs="Arial"/>
        </w:rPr>
        <w:t>stablecer el monto de ventas de PM</w:t>
      </w:r>
      <w:r w:rsidR="007613BB">
        <w:rPr>
          <w:rFonts w:ascii="Arial" w:hAnsi="Arial" w:cs="Arial"/>
        </w:rPr>
        <w:t xml:space="preserve"> que permiten</w:t>
      </w:r>
      <w:r w:rsidR="00930E60">
        <w:rPr>
          <w:rFonts w:ascii="Arial" w:hAnsi="Arial" w:cs="Arial"/>
        </w:rPr>
        <w:t xml:space="preserve"> determinar el régimen tributario aplicable</w:t>
      </w:r>
      <w:r>
        <w:rPr>
          <w:rFonts w:ascii="Arial" w:hAnsi="Arial" w:cs="Arial"/>
        </w:rPr>
        <w:t>, só</w:t>
      </w:r>
      <w:r w:rsidR="006055D9" w:rsidRPr="008A0723">
        <w:rPr>
          <w:rFonts w:ascii="Arial" w:hAnsi="Arial" w:cs="Arial"/>
        </w:rPr>
        <w:t xml:space="preserve">lo se considerarán </w:t>
      </w:r>
      <w:r>
        <w:rPr>
          <w:rFonts w:ascii="Arial" w:hAnsi="Arial" w:cs="Arial"/>
        </w:rPr>
        <w:t>aquellas</w:t>
      </w:r>
      <w:r w:rsidR="006055D9" w:rsidRPr="008A0723">
        <w:rPr>
          <w:rFonts w:ascii="Arial" w:hAnsi="Arial" w:cs="Arial"/>
        </w:rPr>
        <w:t xml:space="preserve"> que digan relación con la actividad como </w:t>
      </w:r>
      <w:r>
        <w:rPr>
          <w:rFonts w:ascii="Arial" w:hAnsi="Arial" w:cs="Arial"/>
        </w:rPr>
        <w:t>EM</w:t>
      </w:r>
      <w:r w:rsidR="006055D9" w:rsidRPr="008A0723">
        <w:rPr>
          <w:rFonts w:ascii="Arial" w:hAnsi="Arial" w:cs="Arial"/>
        </w:rPr>
        <w:t>.</w:t>
      </w:r>
    </w:p>
    <w:p w:rsidR="006055D9" w:rsidRPr="008A0723" w:rsidRDefault="006055D9" w:rsidP="006055D9">
      <w:pPr>
        <w:jc w:val="both"/>
        <w:rPr>
          <w:rFonts w:ascii="Arial" w:hAnsi="Arial" w:cs="Arial"/>
        </w:rPr>
      </w:pPr>
    </w:p>
    <w:p w:rsidR="006055D9" w:rsidRPr="006055D9" w:rsidRDefault="00854415" w:rsidP="006055D9">
      <w:pPr>
        <w:jc w:val="both"/>
        <w:rPr>
          <w:rFonts w:ascii="Arial" w:hAnsi="Arial" w:cs="Arial"/>
          <w:b/>
        </w:rPr>
      </w:pPr>
      <w:r>
        <w:rPr>
          <w:rFonts w:ascii="Arial" w:hAnsi="Arial" w:cs="Arial"/>
          <w:b/>
        </w:rPr>
        <w:t>2</w:t>
      </w:r>
      <w:r w:rsidR="006055D9" w:rsidRPr="006055D9">
        <w:rPr>
          <w:rFonts w:ascii="Arial" w:hAnsi="Arial" w:cs="Arial"/>
          <w:b/>
        </w:rPr>
        <w:t xml:space="preserve">.2.- Análisis del inciso </w:t>
      </w:r>
      <w:r>
        <w:rPr>
          <w:rFonts w:ascii="Arial" w:hAnsi="Arial" w:cs="Arial"/>
          <w:b/>
        </w:rPr>
        <w:t>4°,</w:t>
      </w:r>
      <w:r w:rsidR="006055D9" w:rsidRPr="006055D9">
        <w:rPr>
          <w:rFonts w:ascii="Arial" w:hAnsi="Arial" w:cs="Arial"/>
          <w:b/>
        </w:rPr>
        <w:t xml:space="preserve"> del </w:t>
      </w:r>
      <w:r>
        <w:rPr>
          <w:rFonts w:ascii="Arial" w:hAnsi="Arial" w:cs="Arial"/>
          <w:b/>
        </w:rPr>
        <w:t>N°</w:t>
      </w:r>
      <w:r w:rsidR="006055D9" w:rsidRPr="006055D9">
        <w:rPr>
          <w:rFonts w:ascii="Arial" w:hAnsi="Arial" w:cs="Arial"/>
          <w:b/>
        </w:rPr>
        <w:t>2</w:t>
      </w:r>
      <w:r>
        <w:rPr>
          <w:rFonts w:ascii="Arial" w:hAnsi="Arial" w:cs="Arial"/>
          <w:b/>
        </w:rPr>
        <w:t>,</w:t>
      </w:r>
      <w:r w:rsidR="006055D9" w:rsidRPr="006055D9">
        <w:rPr>
          <w:rFonts w:ascii="Arial" w:hAnsi="Arial" w:cs="Arial"/>
          <w:b/>
        </w:rPr>
        <w:t xml:space="preserve"> del artículo 34</w:t>
      </w:r>
      <w:r>
        <w:rPr>
          <w:rFonts w:ascii="Arial" w:hAnsi="Arial" w:cs="Arial"/>
          <w:b/>
        </w:rPr>
        <w:t>,</w:t>
      </w:r>
      <w:r w:rsidR="006055D9" w:rsidRPr="006055D9">
        <w:rPr>
          <w:rFonts w:ascii="Arial" w:hAnsi="Arial" w:cs="Arial"/>
          <w:b/>
        </w:rPr>
        <w:t xml:space="preserve"> de la L</w:t>
      </w:r>
      <w:r>
        <w:rPr>
          <w:rFonts w:ascii="Arial" w:hAnsi="Arial" w:cs="Arial"/>
          <w:b/>
        </w:rPr>
        <w:t>IR.</w:t>
      </w:r>
    </w:p>
    <w:p w:rsidR="006055D9" w:rsidRPr="006055D9" w:rsidRDefault="006055D9" w:rsidP="006055D9">
      <w:pPr>
        <w:jc w:val="both"/>
        <w:rPr>
          <w:rFonts w:ascii="Arial" w:hAnsi="Arial" w:cs="Arial"/>
          <w:b/>
        </w:rPr>
      </w:pPr>
    </w:p>
    <w:p w:rsidR="006055D9" w:rsidRPr="00A9464F" w:rsidRDefault="00285F50" w:rsidP="006055D9">
      <w:pPr>
        <w:jc w:val="both"/>
        <w:rPr>
          <w:rFonts w:ascii="Arial" w:hAnsi="Arial" w:cs="Arial"/>
        </w:rPr>
      </w:pPr>
      <w:r w:rsidRPr="00835CD4">
        <w:rPr>
          <w:rFonts w:ascii="Arial" w:hAnsi="Arial" w:cs="Arial"/>
        </w:rPr>
        <w:t xml:space="preserve">Para los efectos de lo comentado en el presente anexo, </w:t>
      </w:r>
      <w:r w:rsidR="00CF210E" w:rsidRPr="00835CD4">
        <w:rPr>
          <w:rFonts w:ascii="Arial" w:hAnsi="Arial" w:cs="Arial"/>
        </w:rPr>
        <w:t xml:space="preserve">esta disposición legal establece que </w:t>
      </w:r>
      <w:r w:rsidR="002D5879" w:rsidRPr="00835CD4">
        <w:rPr>
          <w:rFonts w:ascii="Arial" w:hAnsi="Arial" w:cs="Arial"/>
        </w:rPr>
        <w:t xml:space="preserve">si </w:t>
      </w:r>
      <w:r w:rsidR="00CF210E" w:rsidRPr="00835CD4">
        <w:rPr>
          <w:rFonts w:ascii="Arial" w:hAnsi="Arial" w:cs="Arial"/>
        </w:rPr>
        <w:t>una persona, establecimiento permanente, fondo y, en general, cualquier contribuyente</w:t>
      </w:r>
      <w:r w:rsidR="00311691">
        <w:rPr>
          <w:rFonts w:ascii="Arial" w:hAnsi="Arial" w:cs="Arial"/>
        </w:rPr>
        <w:t xml:space="preserve"> (</w:t>
      </w:r>
      <w:r w:rsidR="00033806">
        <w:rPr>
          <w:rFonts w:ascii="Arial" w:hAnsi="Arial" w:cs="Arial"/>
        </w:rPr>
        <w:t>sea o</w:t>
      </w:r>
      <w:r w:rsidR="00311691">
        <w:rPr>
          <w:rFonts w:ascii="Arial" w:hAnsi="Arial" w:cs="Arial"/>
        </w:rPr>
        <w:t xml:space="preserve"> no EM)</w:t>
      </w:r>
      <w:r w:rsidR="00CF210E" w:rsidRPr="00835CD4">
        <w:rPr>
          <w:rFonts w:ascii="Arial" w:hAnsi="Arial" w:cs="Arial"/>
        </w:rPr>
        <w:t>, est</w:t>
      </w:r>
      <w:r w:rsidR="002E01E2" w:rsidRPr="00835CD4">
        <w:rPr>
          <w:rFonts w:ascii="Arial" w:hAnsi="Arial" w:cs="Arial"/>
        </w:rPr>
        <w:t>á relacionado con una o más</w:t>
      </w:r>
      <w:r w:rsidR="006055D9" w:rsidRPr="00835CD4">
        <w:rPr>
          <w:rFonts w:ascii="Arial" w:hAnsi="Arial" w:cs="Arial"/>
        </w:rPr>
        <w:t xml:space="preserve"> comunidades </w:t>
      </w:r>
      <w:r w:rsidR="002E01E2" w:rsidRPr="00835CD4">
        <w:rPr>
          <w:rFonts w:ascii="Arial" w:hAnsi="Arial" w:cs="Arial"/>
        </w:rPr>
        <w:t>o</w:t>
      </w:r>
      <w:r w:rsidR="006055D9" w:rsidRPr="00835CD4">
        <w:rPr>
          <w:rFonts w:ascii="Arial" w:hAnsi="Arial" w:cs="Arial"/>
        </w:rPr>
        <w:t xml:space="preserve"> sociedades</w:t>
      </w:r>
      <w:r w:rsidR="002D5879" w:rsidRPr="00835CD4">
        <w:rPr>
          <w:rFonts w:ascii="Arial" w:hAnsi="Arial" w:cs="Arial"/>
        </w:rPr>
        <w:t>, para establecer el régimen tributario con el IEM aplicable a tales</w:t>
      </w:r>
      <w:r w:rsidR="00033806">
        <w:rPr>
          <w:rFonts w:ascii="Arial" w:hAnsi="Arial" w:cs="Arial"/>
        </w:rPr>
        <w:t xml:space="preserve"> personas,</w:t>
      </w:r>
      <w:r w:rsidR="002D5879" w:rsidRPr="00835CD4">
        <w:rPr>
          <w:rFonts w:ascii="Arial" w:hAnsi="Arial" w:cs="Arial"/>
        </w:rPr>
        <w:t xml:space="preserve"> comunidades o sociedades, debe considerarse respecto de cada una de ellas, en la medida en que realicen actividades como EM, el valor total de ventas de PM de aquellas comunidades y sociedades con las que la </w:t>
      </w:r>
      <w:r w:rsidR="00835CD4" w:rsidRPr="00835CD4">
        <w:rPr>
          <w:rFonts w:ascii="Arial" w:hAnsi="Arial" w:cs="Arial"/>
        </w:rPr>
        <w:t>persona, establecimiento permanente, fondo y, en general, cualquier contribuyente, esté relacionado</w:t>
      </w:r>
      <w:r w:rsidR="006055D9" w:rsidRPr="00835CD4">
        <w:rPr>
          <w:rFonts w:ascii="Arial" w:hAnsi="Arial" w:cs="Arial"/>
        </w:rPr>
        <w:t>, en los términos que define la letra b)</w:t>
      </w:r>
      <w:r w:rsidR="00835CD4" w:rsidRPr="00835CD4">
        <w:rPr>
          <w:rFonts w:ascii="Arial" w:hAnsi="Arial" w:cs="Arial"/>
        </w:rPr>
        <w:t>,</w:t>
      </w:r>
      <w:r w:rsidR="006055D9" w:rsidRPr="00835CD4">
        <w:rPr>
          <w:rFonts w:ascii="Arial" w:hAnsi="Arial" w:cs="Arial"/>
        </w:rPr>
        <w:t xml:space="preserve"> del  N°1</w:t>
      </w:r>
      <w:r w:rsidR="00835CD4" w:rsidRPr="00835CD4">
        <w:rPr>
          <w:rFonts w:ascii="Arial" w:hAnsi="Arial" w:cs="Arial"/>
        </w:rPr>
        <w:t>,</w:t>
      </w:r>
      <w:r w:rsidR="006055D9" w:rsidRPr="00835CD4">
        <w:rPr>
          <w:rFonts w:ascii="Arial" w:hAnsi="Arial" w:cs="Arial"/>
        </w:rPr>
        <w:t xml:space="preserve"> del artículo 20</w:t>
      </w:r>
      <w:r w:rsidR="00835CD4" w:rsidRPr="00835CD4">
        <w:rPr>
          <w:rFonts w:ascii="Arial" w:hAnsi="Arial" w:cs="Arial"/>
        </w:rPr>
        <w:t>,</w:t>
      </w:r>
      <w:r w:rsidR="006055D9" w:rsidRPr="00835CD4">
        <w:rPr>
          <w:rFonts w:ascii="Arial" w:hAnsi="Arial" w:cs="Arial"/>
        </w:rPr>
        <w:t xml:space="preserve"> de la </w:t>
      </w:r>
      <w:r w:rsidR="00835CD4" w:rsidRPr="00A9464F">
        <w:rPr>
          <w:rFonts w:ascii="Arial" w:hAnsi="Arial" w:cs="Arial"/>
        </w:rPr>
        <w:t xml:space="preserve">LIR, </w:t>
      </w:r>
      <w:r w:rsidR="006055D9" w:rsidRPr="00A9464F">
        <w:rPr>
          <w:rFonts w:ascii="Arial" w:hAnsi="Arial" w:cs="Arial"/>
        </w:rPr>
        <w:t xml:space="preserve">procedimiento </w:t>
      </w:r>
      <w:r w:rsidR="00A9464F" w:rsidRPr="00A9464F">
        <w:rPr>
          <w:rFonts w:ascii="Arial" w:hAnsi="Arial" w:cs="Arial"/>
        </w:rPr>
        <w:t xml:space="preserve">que </w:t>
      </w:r>
      <w:r w:rsidR="006055D9" w:rsidRPr="00A9464F">
        <w:rPr>
          <w:rFonts w:ascii="Arial" w:hAnsi="Arial" w:cs="Arial"/>
        </w:rPr>
        <w:t>debe efectuarse al término del ejercicio respecto de la situación existente a esa fecha.</w:t>
      </w:r>
    </w:p>
    <w:p w:rsidR="006055D9" w:rsidRPr="00A9464F" w:rsidRDefault="006055D9" w:rsidP="006055D9">
      <w:pPr>
        <w:jc w:val="both"/>
        <w:rPr>
          <w:rFonts w:ascii="Arial" w:hAnsi="Arial" w:cs="Arial"/>
        </w:rPr>
      </w:pPr>
    </w:p>
    <w:p w:rsidR="006055D9" w:rsidRPr="00A9464F" w:rsidRDefault="006055D9" w:rsidP="006055D9">
      <w:pPr>
        <w:jc w:val="both"/>
        <w:rPr>
          <w:rFonts w:ascii="Arial" w:hAnsi="Arial" w:cs="Arial"/>
        </w:rPr>
      </w:pPr>
      <w:r w:rsidRPr="00A9464F">
        <w:rPr>
          <w:rFonts w:ascii="Arial" w:hAnsi="Arial" w:cs="Arial"/>
        </w:rPr>
        <w:t xml:space="preserve">En consecuencia, para que proceda </w:t>
      </w:r>
      <w:r w:rsidR="00A9464F" w:rsidRPr="00A9464F">
        <w:rPr>
          <w:rFonts w:ascii="Arial" w:hAnsi="Arial" w:cs="Arial"/>
        </w:rPr>
        <w:t>la</w:t>
      </w:r>
      <w:r w:rsidRPr="00A9464F">
        <w:rPr>
          <w:rFonts w:ascii="Arial" w:hAnsi="Arial" w:cs="Arial"/>
        </w:rPr>
        <w:t xml:space="preserve"> aplicación</w:t>
      </w:r>
      <w:r w:rsidR="00A9464F" w:rsidRPr="00A9464F">
        <w:rPr>
          <w:rFonts w:ascii="Arial" w:hAnsi="Arial" w:cs="Arial"/>
        </w:rPr>
        <w:t xml:space="preserve"> de lo señalado,</w:t>
      </w:r>
      <w:r w:rsidRPr="00A9464F">
        <w:rPr>
          <w:rFonts w:ascii="Arial" w:hAnsi="Arial" w:cs="Arial"/>
        </w:rPr>
        <w:t xml:space="preserve"> una misma persona natural</w:t>
      </w:r>
      <w:r w:rsidR="00A9464F" w:rsidRPr="00A9464F">
        <w:rPr>
          <w:rFonts w:ascii="Arial" w:hAnsi="Arial" w:cs="Arial"/>
        </w:rPr>
        <w:t xml:space="preserve"> o jurídica, establecimiento permanente, fondo y, en general, cualquier contribuyente, debe </w:t>
      </w:r>
      <w:r w:rsidRPr="00A9464F">
        <w:rPr>
          <w:rFonts w:ascii="Arial" w:hAnsi="Arial" w:cs="Arial"/>
        </w:rPr>
        <w:t>est</w:t>
      </w:r>
      <w:r w:rsidR="00A9464F" w:rsidRPr="00A9464F">
        <w:rPr>
          <w:rFonts w:ascii="Arial" w:hAnsi="Arial" w:cs="Arial"/>
        </w:rPr>
        <w:t>ar</w:t>
      </w:r>
      <w:r w:rsidRPr="00A9464F">
        <w:rPr>
          <w:rFonts w:ascii="Arial" w:hAnsi="Arial" w:cs="Arial"/>
        </w:rPr>
        <w:t xml:space="preserve"> relacionad</w:t>
      </w:r>
      <w:r w:rsidR="00A9464F" w:rsidRPr="00A9464F">
        <w:rPr>
          <w:rFonts w:ascii="Arial" w:hAnsi="Arial" w:cs="Arial"/>
        </w:rPr>
        <w:t>o</w:t>
      </w:r>
      <w:r w:rsidRPr="00A9464F">
        <w:rPr>
          <w:rFonts w:ascii="Arial" w:hAnsi="Arial" w:cs="Arial"/>
        </w:rPr>
        <w:t xml:space="preserve">, en los términos </w:t>
      </w:r>
      <w:r w:rsidR="00A9464F" w:rsidRPr="00A9464F">
        <w:rPr>
          <w:rFonts w:ascii="Arial" w:hAnsi="Arial" w:cs="Arial"/>
        </w:rPr>
        <w:t>d</w:t>
      </w:r>
      <w:r w:rsidRPr="00A9464F">
        <w:rPr>
          <w:rFonts w:ascii="Arial" w:hAnsi="Arial" w:cs="Arial"/>
        </w:rPr>
        <w:t xml:space="preserve">e la letra b), del </w:t>
      </w:r>
      <w:r w:rsidR="00A9464F" w:rsidRPr="00A9464F">
        <w:rPr>
          <w:rFonts w:ascii="Arial" w:hAnsi="Arial" w:cs="Arial"/>
        </w:rPr>
        <w:t>N°</w:t>
      </w:r>
      <w:r w:rsidRPr="00A9464F">
        <w:rPr>
          <w:rFonts w:ascii="Arial" w:hAnsi="Arial" w:cs="Arial"/>
        </w:rPr>
        <w:t>1</w:t>
      </w:r>
      <w:r w:rsidR="00A9464F" w:rsidRPr="00A9464F">
        <w:rPr>
          <w:rFonts w:ascii="Arial" w:hAnsi="Arial" w:cs="Arial"/>
        </w:rPr>
        <w:t xml:space="preserve">, </w:t>
      </w:r>
      <w:r w:rsidRPr="00A9464F">
        <w:rPr>
          <w:rFonts w:ascii="Arial" w:hAnsi="Arial" w:cs="Arial"/>
        </w:rPr>
        <w:t>del artículo 20 de la L</w:t>
      </w:r>
      <w:r w:rsidR="00A9464F" w:rsidRPr="00A9464F">
        <w:rPr>
          <w:rFonts w:ascii="Arial" w:hAnsi="Arial" w:cs="Arial"/>
        </w:rPr>
        <w:t>IR</w:t>
      </w:r>
      <w:r w:rsidRPr="00A9464F">
        <w:rPr>
          <w:rFonts w:ascii="Arial" w:hAnsi="Arial" w:cs="Arial"/>
        </w:rPr>
        <w:t>, con una o más comunidades o sociedades</w:t>
      </w:r>
      <w:r w:rsidR="00A9464F">
        <w:rPr>
          <w:rFonts w:ascii="Arial" w:hAnsi="Arial" w:cs="Arial"/>
        </w:rPr>
        <w:t xml:space="preserve"> que lleven a cabo actividades </w:t>
      </w:r>
      <w:r w:rsidR="009339E0">
        <w:rPr>
          <w:rFonts w:ascii="Arial" w:hAnsi="Arial" w:cs="Arial"/>
        </w:rPr>
        <w:t>mineras</w:t>
      </w:r>
      <w:r w:rsidRPr="00A9464F">
        <w:rPr>
          <w:rFonts w:ascii="Arial" w:hAnsi="Arial" w:cs="Arial"/>
        </w:rPr>
        <w:t>.</w:t>
      </w:r>
    </w:p>
    <w:p w:rsidR="006055D9" w:rsidRPr="006055D9" w:rsidRDefault="006055D9" w:rsidP="006055D9">
      <w:pPr>
        <w:jc w:val="both"/>
        <w:rPr>
          <w:rFonts w:ascii="Arial" w:hAnsi="Arial" w:cs="Arial"/>
          <w:b/>
        </w:rPr>
      </w:pPr>
    </w:p>
    <w:p w:rsidR="006055D9" w:rsidRPr="00C1399E" w:rsidRDefault="00C1399E" w:rsidP="006055D9">
      <w:pPr>
        <w:jc w:val="both"/>
        <w:rPr>
          <w:rFonts w:ascii="Arial" w:hAnsi="Arial" w:cs="Arial"/>
        </w:rPr>
      </w:pPr>
      <w:r w:rsidRPr="00C1399E">
        <w:rPr>
          <w:rFonts w:ascii="Arial" w:hAnsi="Arial" w:cs="Arial"/>
        </w:rPr>
        <w:t xml:space="preserve">Si alguna </w:t>
      </w:r>
      <w:r w:rsidR="006055D9" w:rsidRPr="00C1399E">
        <w:rPr>
          <w:rFonts w:ascii="Arial" w:hAnsi="Arial" w:cs="Arial"/>
        </w:rPr>
        <w:t xml:space="preserve">de estas comunidades o sociedades, además de su actividad de </w:t>
      </w:r>
      <w:r w:rsidRPr="00C1399E">
        <w:rPr>
          <w:rFonts w:ascii="Arial" w:hAnsi="Arial" w:cs="Arial"/>
        </w:rPr>
        <w:t>EM</w:t>
      </w:r>
      <w:r w:rsidR="006055D9" w:rsidRPr="00C1399E">
        <w:rPr>
          <w:rFonts w:ascii="Arial" w:hAnsi="Arial" w:cs="Arial"/>
        </w:rPr>
        <w:t xml:space="preserve"> reali</w:t>
      </w:r>
      <w:r w:rsidRPr="00C1399E">
        <w:rPr>
          <w:rFonts w:ascii="Arial" w:hAnsi="Arial" w:cs="Arial"/>
        </w:rPr>
        <w:t>za</w:t>
      </w:r>
      <w:r w:rsidR="006055D9" w:rsidRPr="00C1399E">
        <w:rPr>
          <w:rFonts w:ascii="Arial" w:hAnsi="Arial" w:cs="Arial"/>
        </w:rPr>
        <w:t xml:space="preserve"> simultáneamente otras actividades, para los efectos de la</w:t>
      </w:r>
      <w:r w:rsidRPr="00C1399E">
        <w:rPr>
          <w:rFonts w:ascii="Arial" w:hAnsi="Arial" w:cs="Arial"/>
        </w:rPr>
        <w:t xml:space="preserve"> determinación de las ventas, só</w:t>
      </w:r>
      <w:r w:rsidR="006055D9" w:rsidRPr="00C1399E">
        <w:rPr>
          <w:rFonts w:ascii="Arial" w:hAnsi="Arial" w:cs="Arial"/>
        </w:rPr>
        <w:t xml:space="preserve">lo deberán considerar las </w:t>
      </w:r>
      <w:r w:rsidRPr="00C1399E">
        <w:rPr>
          <w:rFonts w:ascii="Arial" w:hAnsi="Arial" w:cs="Arial"/>
        </w:rPr>
        <w:t>efectuadas</w:t>
      </w:r>
      <w:r w:rsidR="006055D9" w:rsidRPr="00C1399E">
        <w:rPr>
          <w:rFonts w:ascii="Arial" w:hAnsi="Arial" w:cs="Arial"/>
        </w:rPr>
        <w:t xml:space="preserve"> como </w:t>
      </w:r>
      <w:r w:rsidRPr="00C1399E">
        <w:rPr>
          <w:rFonts w:ascii="Arial" w:hAnsi="Arial" w:cs="Arial"/>
        </w:rPr>
        <w:t>EM</w:t>
      </w:r>
      <w:r w:rsidR="006055D9" w:rsidRPr="00C1399E">
        <w:rPr>
          <w:rFonts w:ascii="Arial" w:hAnsi="Arial" w:cs="Arial"/>
        </w:rPr>
        <w:t>.</w:t>
      </w:r>
    </w:p>
    <w:p w:rsidR="006055D9" w:rsidRPr="006055D9" w:rsidRDefault="006055D9" w:rsidP="006055D9">
      <w:pPr>
        <w:jc w:val="both"/>
        <w:rPr>
          <w:rFonts w:ascii="Arial" w:hAnsi="Arial" w:cs="Arial"/>
          <w:b/>
        </w:rPr>
      </w:pPr>
    </w:p>
    <w:p w:rsidR="00C1399E" w:rsidRDefault="00C1399E" w:rsidP="006055D9">
      <w:pPr>
        <w:jc w:val="both"/>
        <w:rPr>
          <w:rFonts w:ascii="Arial" w:hAnsi="Arial" w:cs="Arial"/>
          <w:b/>
        </w:rPr>
      </w:pPr>
      <w:r>
        <w:rPr>
          <w:rFonts w:ascii="Arial" w:hAnsi="Arial" w:cs="Arial"/>
          <w:b/>
        </w:rPr>
        <w:t>2</w:t>
      </w:r>
      <w:r w:rsidR="006055D9" w:rsidRPr="006055D9">
        <w:rPr>
          <w:rFonts w:ascii="Arial" w:hAnsi="Arial" w:cs="Arial"/>
          <w:b/>
        </w:rPr>
        <w:t>.3.- C</w:t>
      </w:r>
      <w:r w:rsidR="00957502">
        <w:rPr>
          <w:rFonts w:ascii="Arial" w:hAnsi="Arial" w:cs="Arial"/>
          <w:b/>
        </w:rPr>
        <w:t>asos</w:t>
      </w:r>
      <w:r w:rsidR="006055D9" w:rsidRPr="006055D9">
        <w:rPr>
          <w:rFonts w:ascii="Arial" w:hAnsi="Arial" w:cs="Arial"/>
          <w:b/>
        </w:rPr>
        <w:t xml:space="preserve"> de relación</w:t>
      </w:r>
      <w:r>
        <w:rPr>
          <w:rFonts w:ascii="Arial" w:hAnsi="Arial" w:cs="Arial"/>
          <w:b/>
        </w:rPr>
        <w:t>.</w:t>
      </w:r>
    </w:p>
    <w:p w:rsidR="00C1399E" w:rsidRDefault="00C1399E" w:rsidP="006055D9">
      <w:pPr>
        <w:jc w:val="both"/>
        <w:rPr>
          <w:rFonts w:ascii="Arial" w:hAnsi="Arial" w:cs="Arial"/>
          <w:b/>
        </w:rPr>
      </w:pPr>
    </w:p>
    <w:p w:rsidR="006055D9" w:rsidRPr="00FF7D89" w:rsidRDefault="006055D9" w:rsidP="006055D9">
      <w:pPr>
        <w:jc w:val="both"/>
        <w:rPr>
          <w:rFonts w:ascii="Arial" w:hAnsi="Arial" w:cs="Arial"/>
        </w:rPr>
      </w:pPr>
      <w:r w:rsidRPr="00FF7D89">
        <w:rPr>
          <w:rFonts w:ascii="Arial" w:hAnsi="Arial" w:cs="Arial"/>
        </w:rPr>
        <w:t xml:space="preserve">En el inciso </w:t>
      </w:r>
      <w:r w:rsidR="00FF7D89" w:rsidRPr="00FF7D89">
        <w:rPr>
          <w:rFonts w:ascii="Arial" w:hAnsi="Arial" w:cs="Arial"/>
        </w:rPr>
        <w:t>7°,</w:t>
      </w:r>
      <w:r w:rsidRPr="00FF7D89">
        <w:rPr>
          <w:rFonts w:ascii="Arial" w:hAnsi="Arial" w:cs="Arial"/>
        </w:rPr>
        <w:t xml:space="preserve"> del N° 2, del artículo 34</w:t>
      </w:r>
      <w:r w:rsidR="00FF7D89" w:rsidRPr="00FF7D89">
        <w:rPr>
          <w:rFonts w:ascii="Arial" w:hAnsi="Arial" w:cs="Arial"/>
        </w:rPr>
        <w:t>,</w:t>
      </w:r>
      <w:r w:rsidRPr="00FF7D89">
        <w:rPr>
          <w:rFonts w:ascii="Arial" w:hAnsi="Arial" w:cs="Arial"/>
        </w:rPr>
        <w:t xml:space="preserve"> de la L</w:t>
      </w:r>
      <w:r w:rsidR="00FF7D89" w:rsidRPr="00FF7D89">
        <w:rPr>
          <w:rFonts w:ascii="Arial" w:hAnsi="Arial" w:cs="Arial"/>
        </w:rPr>
        <w:t>IR</w:t>
      </w:r>
      <w:r w:rsidRPr="00FF7D89">
        <w:rPr>
          <w:rFonts w:ascii="Arial" w:hAnsi="Arial" w:cs="Arial"/>
        </w:rPr>
        <w:t xml:space="preserve">, se hace extensivo a la tributación de la minería, el </w:t>
      </w:r>
      <w:r w:rsidR="00FF7D89" w:rsidRPr="00FF7D89">
        <w:rPr>
          <w:rFonts w:ascii="Arial" w:hAnsi="Arial" w:cs="Arial"/>
        </w:rPr>
        <w:t>concepto de persona relacionada (</w:t>
      </w:r>
      <w:r w:rsidR="00E12B2B">
        <w:rPr>
          <w:rFonts w:ascii="Arial" w:hAnsi="Arial" w:cs="Arial"/>
        </w:rPr>
        <w:t>entendiéndose por persona para estos efectos</w:t>
      </w:r>
      <w:r w:rsidR="00FF7D89" w:rsidRPr="00FF7D89">
        <w:rPr>
          <w:rFonts w:ascii="Arial" w:hAnsi="Arial" w:cs="Arial"/>
        </w:rPr>
        <w:t xml:space="preserve"> a los establecimientos permanentes, fondos, y en general, cualquier contribuyente)</w:t>
      </w:r>
      <w:r w:rsidRPr="00FF7D89">
        <w:rPr>
          <w:rFonts w:ascii="Arial" w:hAnsi="Arial" w:cs="Arial"/>
        </w:rPr>
        <w:t xml:space="preserve"> aplicable a la tributación agrícola según </w:t>
      </w:r>
      <w:r w:rsidR="00FF7D89" w:rsidRPr="00FF7D89">
        <w:rPr>
          <w:rFonts w:ascii="Arial" w:hAnsi="Arial" w:cs="Arial"/>
        </w:rPr>
        <w:t>la</w:t>
      </w:r>
      <w:r w:rsidRPr="00FF7D89">
        <w:rPr>
          <w:rFonts w:ascii="Arial" w:hAnsi="Arial" w:cs="Arial"/>
        </w:rPr>
        <w:t xml:space="preserve"> letra b), del </w:t>
      </w:r>
      <w:r w:rsidR="00FF7D89" w:rsidRPr="00FF7D89">
        <w:rPr>
          <w:rFonts w:ascii="Arial" w:hAnsi="Arial" w:cs="Arial"/>
        </w:rPr>
        <w:t>N°</w:t>
      </w:r>
      <w:r w:rsidRPr="00FF7D89">
        <w:rPr>
          <w:rFonts w:ascii="Arial" w:hAnsi="Arial" w:cs="Arial"/>
        </w:rPr>
        <w:t>1</w:t>
      </w:r>
      <w:r w:rsidR="00FF7D89" w:rsidRPr="00FF7D89">
        <w:rPr>
          <w:rFonts w:ascii="Arial" w:hAnsi="Arial" w:cs="Arial"/>
        </w:rPr>
        <w:t xml:space="preserve">, </w:t>
      </w:r>
      <w:r w:rsidRPr="00FF7D89">
        <w:rPr>
          <w:rFonts w:ascii="Arial" w:hAnsi="Arial" w:cs="Arial"/>
        </w:rPr>
        <w:t>del artículo 20 de dicha Ley</w:t>
      </w:r>
      <w:r w:rsidR="00027812">
        <w:rPr>
          <w:rFonts w:ascii="Arial" w:hAnsi="Arial" w:cs="Arial"/>
        </w:rPr>
        <w:t>. De lo dispuesto por las disposiciones citadas en relación con el artículo 64 bis de la LIR, d</w:t>
      </w:r>
      <w:r w:rsidR="00027812" w:rsidRPr="00C33B3A">
        <w:rPr>
          <w:rFonts w:ascii="Arial" w:hAnsi="Arial" w:cs="Arial"/>
        </w:rPr>
        <w:t>ebe entenderse que existe relación</w:t>
      </w:r>
      <w:r w:rsidR="00027812">
        <w:rPr>
          <w:rFonts w:ascii="Arial" w:hAnsi="Arial" w:cs="Arial"/>
        </w:rPr>
        <w:t xml:space="preserve"> para los efectos de lo señalado en los N°s </w:t>
      </w:r>
      <w:r w:rsidR="00027812" w:rsidRPr="00027812">
        <w:rPr>
          <w:rFonts w:ascii="Arial" w:hAnsi="Arial" w:cs="Arial"/>
          <w:b/>
        </w:rPr>
        <w:t>2.1.</w:t>
      </w:r>
      <w:r w:rsidR="00027812">
        <w:rPr>
          <w:rFonts w:ascii="Arial" w:hAnsi="Arial" w:cs="Arial"/>
        </w:rPr>
        <w:t xml:space="preserve"> y </w:t>
      </w:r>
      <w:r w:rsidR="00027812" w:rsidRPr="00027812">
        <w:rPr>
          <w:rFonts w:ascii="Arial" w:hAnsi="Arial" w:cs="Arial"/>
          <w:b/>
        </w:rPr>
        <w:t>2.2.</w:t>
      </w:r>
      <w:r w:rsidR="00027812">
        <w:rPr>
          <w:rFonts w:ascii="Arial" w:hAnsi="Arial" w:cs="Arial"/>
        </w:rPr>
        <w:t xml:space="preserve"> de este anexo,</w:t>
      </w:r>
      <w:r w:rsidR="00027812" w:rsidRPr="00C33B3A">
        <w:rPr>
          <w:rFonts w:ascii="Arial" w:hAnsi="Arial" w:cs="Arial"/>
        </w:rPr>
        <w:t xml:space="preserve"> </w:t>
      </w:r>
      <w:r w:rsidR="00027812">
        <w:rPr>
          <w:rFonts w:ascii="Arial" w:hAnsi="Arial" w:cs="Arial"/>
        </w:rPr>
        <w:t>en los siguientes casos</w:t>
      </w:r>
      <w:r w:rsidRPr="00FF7D89">
        <w:rPr>
          <w:rFonts w:ascii="Arial" w:hAnsi="Arial" w:cs="Arial"/>
        </w:rPr>
        <w:t>:</w:t>
      </w:r>
    </w:p>
    <w:p w:rsidR="006055D9" w:rsidRPr="006055D9" w:rsidRDefault="006055D9" w:rsidP="006055D9">
      <w:pPr>
        <w:jc w:val="both"/>
        <w:rPr>
          <w:rFonts w:ascii="Arial" w:hAnsi="Arial" w:cs="Arial"/>
          <w:b/>
        </w:rPr>
      </w:pPr>
    </w:p>
    <w:p w:rsidR="006055D9" w:rsidRPr="006055D9" w:rsidRDefault="006055D9" w:rsidP="008E316C">
      <w:pPr>
        <w:numPr>
          <w:ilvl w:val="0"/>
          <w:numId w:val="40"/>
        </w:numPr>
        <w:tabs>
          <w:tab w:val="left" w:pos="284"/>
        </w:tabs>
        <w:ind w:left="0" w:firstLine="0"/>
        <w:jc w:val="both"/>
        <w:rPr>
          <w:rFonts w:ascii="Arial" w:hAnsi="Arial" w:cs="Arial"/>
          <w:b/>
        </w:rPr>
      </w:pPr>
      <w:r w:rsidRPr="006055D9">
        <w:rPr>
          <w:rFonts w:ascii="Arial" w:hAnsi="Arial" w:cs="Arial"/>
          <w:b/>
        </w:rPr>
        <w:t>Relación entre una persona y una sociedad de personas o una comunidad</w:t>
      </w:r>
      <w:r w:rsidR="008E316C">
        <w:rPr>
          <w:rFonts w:ascii="Arial" w:hAnsi="Arial" w:cs="Arial"/>
          <w:b/>
        </w:rPr>
        <w:t>.</w:t>
      </w:r>
    </w:p>
    <w:p w:rsidR="006055D9" w:rsidRPr="00C33B3A" w:rsidRDefault="006055D9" w:rsidP="006055D9">
      <w:pPr>
        <w:jc w:val="both"/>
        <w:rPr>
          <w:rFonts w:ascii="Arial" w:hAnsi="Arial" w:cs="Arial"/>
        </w:rPr>
      </w:pPr>
    </w:p>
    <w:p w:rsidR="00C33B3A" w:rsidRPr="00BA7D35" w:rsidRDefault="006055D9" w:rsidP="006055D9">
      <w:pPr>
        <w:numPr>
          <w:ilvl w:val="0"/>
          <w:numId w:val="41"/>
        </w:numPr>
        <w:jc w:val="both"/>
        <w:rPr>
          <w:rFonts w:ascii="Arial" w:hAnsi="Arial" w:cs="Arial"/>
        </w:rPr>
      </w:pPr>
      <w:r w:rsidRPr="00BA7D35">
        <w:rPr>
          <w:rFonts w:ascii="Arial" w:hAnsi="Arial" w:cs="Arial"/>
        </w:rPr>
        <w:t>Cuando la persona como socio o comunero, tenga facultades de administración en la sociedad o comunidad respectiva;</w:t>
      </w:r>
    </w:p>
    <w:p w:rsidR="00C33B3A" w:rsidRPr="00BA7D35" w:rsidRDefault="006055D9" w:rsidP="006055D9">
      <w:pPr>
        <w:numPr>
          <w:ilvl w:val="0"/>
          <w:numId w:val="41"/>
        </w:numPr>
        <w:jc w:val="both"/>
        <w:rPr>
          <w:rFonts w:ascii="Arial" w:hAnsi="Arial" w:cs="Arial"/>
        </w:rPr>
      </w:pPr>
      <w:r w:rsidRPr="00BA7D35">
        <w:rPr>
          <w:rFonts w:ascii="Arial" w:hAnsi="Arial" w:cs="Arial"/>
        </w:rPr>
        <w:t>Si la persona participa en más del 10% de las utilidades</w:t>
      </w:r>
      <w:r w:rsidR="00C33B3A" w:rsidRPr="00BA7D35">
        <w:rPr>
          <w:rFonts w:ascii="Arial" w:hAnsi="Arial" w:cs="Arial"/>
        </w:rPr>
        <w:t xml:space="preserve"> de la sociedad o comunidad</w:t>
      </w:r>
      <w:r w:rsidR="00BC1FDC">
        <w:rPr>
          <w:rFonts w:ascii="Arial" w:hAnsi="Arial" w:cs="Arial"/>
        </w:rPr>
        <w:t>, o</w:t>
      </w:r>
    </w:p>
    <w:p w:rsidR="006055D9" w:rsidRPr="00BA7D35" w:rsidRDefault="006055D9" w:rsidP="006055D9">
      <w:pPr>
        <w:numPr>
          <w:ilvl w:val="0"/>
          <w:numId w:val="41"/>
        </w:numPr>
        <w:jc w:val="both"/>
        <w:rPr>
          <w:rFonts w:ascii="Arial" w:hAnsi="Arial" w:cs="Arial"/>
        </w:rPr>
      </w:pPr>
      <w:r w:rsidRPr="00BA7D35">
        <w:rPr>
          <w:rFonts w:ascii="Arial" w:hAnsi="Arial" w:cs="Arial"/>
        </w:rPr>
        <w:t>Si</w:t>
      </w:r>
      <w:r w:rsidR="00BA7D35" w:rsidRPr="00BA7D35">
        <w:rPr>
          <w:rFonts w:ascii="Arial" w:hAnsi="Arial" w:cs="Arial"/>
        </w:rPr>
        <w:t xml:space="preserve"> la persona</w:t>
      </w:r>
      <w:r w:rsidRPr="00BA7D35">
        <w:rPr>
          <w:rFonts w:ascii="Arial" w:hAnsi="Arial" w:cs="Arial"/>
        </w:rPr>
        <w:t xml:space="preserve"> es dueña, usufructuaria o a cualquier </w:t>
      </w:r>
      <w:r w:rsidR="00BC1FDC">
        <w:rPr>
          <w:rFonts w:ascii="Arial" w:hAnsi="Arial" w:cs="Arial"/>
        </w:rPr>
        <w:t xml:space="preserve">otro </w:t>
      </w:r>
      <w:r w:rsidRPr="00BA7D35">
        <w:rPr>
          <w:rFonts w:ascii="Arial" w:hAnsi="Arial" w:cs="Arial"/>
        </w:rPr>
        <w:t>título pose</w:t>
      </w:r>
      <w:r w:rsidR="00BA7D35" w:rsidRPr="00BA7D35">
        <w:rPr>
          <w:rFonts w:ascii="Arial" w:hAnsi="Arial" w:cs="Arial"/>
        </w:rPr>
        <w:t>e</w:t>
      </w:r>
      <w:r w:rsidRPr="00BA7D35">
        <w:rPr>
          <w:rFonts w:ascii="Arial" w:hAnsi="Arial" w:cs="Arial"/>
        </w:rPr>
        <w:t xml:space="preserve"> más del 10% del capital social o de las acciones. (aún cuando la norma no lo precisa</w:t>
      </w:r>
      <w:r w:rsidR="00BA7D35">
        <w:rPr>
          <w:rFonts w:ascii="Arial" w:hAnsi="Arial" w:cs="Arial"/>
        </w:rPr>
        <w:t>,</w:t>
      </w:r>
      <w:r w:rsidRPr="00BA7D35">
        <w:rPr>
          <w:rFonts w:ascii="Arial" w:hAnsi="Arial" w:cs="Arial"/>
        </w:rPr>
        <w:t xml:space="preserve"> el</w:t>
      </w:r>
      <w:r w:rsidR="00BA7D35">
        <w:rPr>
          <w:rFonts w:ascii="Arial" w:hAnsi="Arial" w:cs="Arial"/>
        </w:rPr>
        <w:t xml:space="preserve"> parámetro del</w:t>
      </w:r>
      <w:r w:rsidRPr="00BA7D35">
        <w:rPr>
          <w:rFonts w:ascii="Arial" w:hAnsi="Arial" w:cs="Arial"/>
        </w:rPr>
        <w:t xml:space="preserve"> 10% de las acciones debe entenderse referido a los accionistas de las sociedades en comandita por acciones y legales mineras).</w:t>
      </w:r>
    </w:p>
    <w:p w:rsidR="006055D9" w:rsidRPr="006055D9" w:rsidRDefault="006055D9" w:rsidP="006055D9">
      <w:pPr>
        <w:jc w:val="both"/>
        <w:rPr>
          <w:rFonts w:ascii="Arial" w:hAnsi="Arial" w:cs="Arial"/>
          <w:b/>
        </w:rPr>
      </w:pPr>
    </w:p>
    <w:p w:rsidR="006055D9" w:rsidRPr="00BA7D35" w:rsidRDefault="006055D9" w:rsidP="006055D9">
      <w:pPr>
        <w:jc w:val="both"/>
        <w:rPr>
          <w:rFonts w:ascii="Arial" w:hAnsi="Arial" w:cs="Arial"/>
        </w:rPr>
      </w:pPr>
      <w:r w:rsidRPr="00BA7D35">
        <w:rPr>
          <w:rFonts w:ascii="Arial" w:hAnsi="Arial" w:cs="Arial"/>
        </w:rPr>
        <w:t>En cuanto a las comunidades</w:t>
      </w:r>
      <w:r w:rsidR="00BA7D35">
        <w:rPr>
          <w:rFonts w:ascii="Arial" w:hAnsi="Arial" w:cs="Arial"/>
        </w:rPr>
        <w:t>,</w:t>
      </w:r>
      <w:r w:rsidRPr="00BA7D35">
        <w:rPr>
          <w:rFonts w:ascii="Arial" w:hAnsi="Arial" w:cs="Arial"/>
        </w:rPr>
        <w:t xml:space="preserve"> la disposición legal no hace excepciones, por lo que deben entenderse comprendidas las de cualquier origen.</w:t>
      </w:r>
    </w:p>
    <w:p w:rsidR="006055D9" w:rsidRPr="006055D9" w:rsidRDefault="006055D9" w:rsidP="006055D9">
      <w:pPr>
        <w:jc w:val="both"/>
        <w:rPr>
          <w:rFonts w:ascii="Arial" w:hAnsi="Arial" w:cs="Arial"/>
          <w:b/>
        </w:rPr>
      </w:pPr>
    </w:p>
    <w:p w:rsidR="006055D9" w:rsidRPr="006055D9" w:rsidRDefault="006055D9" w:rsidP="002E0A45">
      <w:pPr>
        <w:numPr>
          <w:ilvl w:val="0"/>
          <w:numId w:val="40"/>
        </w:numPr>
        <w:tabs>
          <w:tab w:val="left" w:pos="284"/>
        </w:tabs>
        <w:ind w:left="0" w:firstLine="0"/>
        <w:jc w:val="both"/>
        <w:rPr>
          <w:rFonts w:ascii="Arial" w:hAnsi="Arial" w:cs="Arial"/>
          <w:b/>
        </w:rPr>
      </w:pPr>
      <w:r w:rsidRPr="006055D9">
        <w:rPr>
          <w:rFonts w:ascii="Arial" w:hAnsi="Arial" w:cs="Arial"/>
          <w:b/>
        </w:rPr>
        <w:t>Relación entre una persona y una sociedad anónima</w:t>
      </w:r>
      <w:r w:rsidR="002E0A45">
        <w:rPr>
          <w:rFonts w:ascii="Arial" w:hAnsi="Arial" w:cs="Arial"/>
          <w:b/>
        </w:rPr>
        <w:t>.</w:t>
      </w:r>
    </w:p>
    <w:p w:rsidR="006055D9" w:rsidRPr="006055D9" w:rsidRDefault="006055D9" w:rsidP="006055D9">
      <w:pPr>
        <w:jc w:val="both"/>
        <w:rPr>
          <w:rFonts w:ascii="Arial" w:hAnsi="Arial" w:cs="Arial"/>
          <w:b/>
        </w:rPr>
      </w:pPr>
    </w:p>
    <w:p w:rsidR="00BC1FDC" w:rsidRPr="00BC1FDC" w:rsidRDefault="006055D9" w:rsidP="006055D9">
      <w:pPr>
        <w:numPr>
          <w:ilvl w:val="0"/>
          <w:numId w:val="42"/>
        </w:numPr>
        <w:jc w:val="both"/>
        <w:rPr>
          <w:rFonts w:ascii="Arial" w:hAnsi="Arial" w:cs="Arial"/>
        </w:rPr>
      </w:pPr>
      <w:r w:rsidRPr="00BC1FDC">
        <w:rPr>
          <w:rFonts w:ascii="Arial" w:hAnsi="Arial" w:cs="Arial"/>
        </w:rPr>
        <w:t xml:space="preserve">Si la persona es dueña, usufructuaria o a cualquier </w:t>
      </w:r>
      <w:r w:rsidR="00027812" w:rsidRPr="00BC1FDC">
        <w:rPr>
          <w:rFonts w:ascii="Arial" w:hAnsi="Arial" w:cs="Arial"/>
        </w:rPr>
        <w:t xml:space="preserve">otro </w:t>
      </w:r>
      <w:r w:rsidRPr="00BC1FDC">
        <w:rPr>
          <w:rFonts w:ascii="Arial" w:hAnsi="Arial" w:cs="Arial"/>
        </w:rPr>
        <w:t>título tiene derecho a más del 10% de las acciones;</w:t>
      </w:r>
    </w:p>
    <w:p w:rsidR="00BC1FDC" w:rsidRPr="00BC1FDC" w:rsidRDefault="006055D9" w:rsidP="006055D9">
      <w:pPr>
        <w:numPr>
          <w:ilvl w:val="0"/>
          <w:numId w:val="42"/>
        </w:numPr>
        <w:jc w:val="both"/>
        <w:rPr>
          <w:rFonts w:ascii="Arial" w:hAnsi="Arial" w:cs="Arial"/>
        </w:rPr>
      </w:pPr>
      <w:r w:rsidRPr="00BC1FDC">
        <w:rPr>
          <w:rFonts w:ascii="Arial" w:hAnsi="Arial" w:cs="Arial"/>
        </w:rPr>
        <w:t>Si tiene derecho a más del 10% de las utilidades</w:t>
      </w:r>
      <w:r w:rsidR="00BC1FDC" w:rsidRPr="00BC1FDC">
        <w:rPr>
          <w:rFonts w:ascii="Arial" w:hAnsi="Arial" w:cs="Arial"/>
        </w:rPr>
        <w:t>,</w:t>
      </w:r>
      <w:r w:rsidRPr="00BC1FDC">
        <w:rPr>
          <w:rFonts w:ascii="Arial" w:hAnsi="Arial" w:cs="Arial"/>
        </w:rPr>
        <w:t xml:space="preserve"> o</w:t>
      </w:r>
    </w:p>
    <w:p w:rsidR="006055D9" w:rsidRDefault="006055D9" w:rsidP="006055D9">
      <w:pPr>
        <w:numPr>
          <w:ilvl w:val="0"/>
          <w:numId w:val="42"/>
        </w:numPr>
        <w:jc w:val="both"/>
        <w:rPr>
          <w:rFonts w:ascii="Arial" w:hAnsi="Arial" w:cs="Arial"/>
        </w:rPr>
      </w:pPr>
      <w:r w:rsidRPr="00BC1FDC">
        <w:rPr>
          <w:rFonts w:ascii="Arial" w:hAnsi="Arial" w:cs="Arial"/>
        </w:rPr>
        <w:t>Si tiene derecho a más del 10% de los votos en la junta de accionistas.</w:t>
      </w:r>
    </w:p>
    <w:p w:rsidR="00BC1FDC" w:rsidRDefault="00BC1FDC" w:rsidP="00BC1FDC">
      <w:pPr>
        <w:jc w:val="both"/>
        <w:rPr>
          <w:rFonts w:ascii="Arial" w:hAnsi="Arial" w:cs="Arial"/>
        </w:rPr>
      </w:pPr>
    </w:p>
    <w:p w:rsidR="00BC1FDC" w:rsidRPr="00BC1FDC" w:rsidRDefault="00BC1FDC" w:rsidP="00BC1FDC">
      <w:pPr>
        <w:jc w:val="both"/>
        <w:rPr>
          <w:rFonts w:ascii="Arial" w:hAnsi="Arial" w:cs="Arial"/>
        </w:rPr>
      </w:pPr>
      <w:r>
        <w:rPr>
          <w:rFonts w:ascii="Arial" w:hAnsi="Arial" w:cs="Arial"/>
        </w:rPr>
        <w:t xml:space="preserve">Cabe señalar que conforme a lo dispuesto por el N°6, del artículo 2, de la LIR, para los efectos de dicho texto legal, las sociedades por acciones reguladas en el Párrafo 8°, del Título VII, del Código de Comercio, </w:t>
      </w:r>
      <w:r w:rsidR="004E10D9">
        <w:rPr>
          <w:rFonts w:ascii="Arial" w:hAnsi="Arial" w:cs="Arial"/>
        </w:rPr>
        <w:t>se considerarán anónimas.</w:t>
      </w:r>
    </w:p>
    <w:p w:rsidR="006055D9" w:rsidRPr="00BC1FDC" w:rsidRDefault="006055D9" w:rsidP="006055D9">
      <w:pPr>
        <w:jc w:val="both"/>
        <w:rPr>
          <w:rFonts w:ascii="Arial" w:hAnsi="Arial" w:cs="Arial"/>
        </w:rPr>
      </w:pPr>
    </w:p>
    <w:p w:rsidR="006055D9" w:rsidRPr="006055D9" w:rsidRDefault="006055D9" w:rsidP="00B26B71">
      <w:pPr>
        <w:numPr>
          <w:ilvl w:val="0"/>
          <w:numId w:val="40"/>
        </w:numPr>
        <w:tabs>
          <w:tab w:val="left" w:pos="284"/>
        </w:tabs>
        <w:ind w:left="0" w:firstLine="0"/>
        <w:jc w:val="both"/>
        <w:rPr>
          <w:rFonts w:ascii="Arial" w:hAnsi="Arial" w:cs="Arial"/>
          <w:b/>
        </w:rPr>
      </w:pPr>
      <w:r w:rsidRPr="006055D9">
        <w:rPr>
          <w:rFonts w:ascii="Arial" w:hAnsi="Arial" w:cs="Arial"/>
          <w:b/>
        </w:rPr>
        <w:t>Relación de una persona</w:t>
      </w:r>
      <w:r w:rsidR="00B26B71">
        <w:rPr>
          <w:rFonts w:ascii="Arial" w:hAnsi="Arial" w:cs="Arial"/>
          <w:b/>
        </w:rPr>
        <w:t xml:space="preserve"> con una sociedad</w:t>
      </w:r>
      <w:r w:rsidRPr="006055D9">
        <w:rPr>
          <w:rFonts w:ascii="Arial" w:hAnsi="Arial" w:cs="Arial"/>
          <w:b/>
        </w:rPr>
        <w:t xml:space="preserve"> en</w:t>
      </w:r>
      <w:r w:rsidR="00B26B71">
        <w:rPr>
          <w:rFonts w:ascii="Arial" w:hAnsi="Arial" w:cs="Arial"/>
          <w:b/>
        </w:rPr>
        <w:t xml:space="preserve"> virtud de</w:t>
      </w:r>
      <w:r w:rsidRPr="006055D9">
        <w:rPr>
          <w:rFonts w:ascii="Arial" w:hAnsi="Arial" w:cs="Arial"/>
          <w:b/>
        </w:rPr>
        <w:t xml:space="preserve"> un contrato de asociación u otro negocio de carácter fiduciario</w:t>
      </w:r>
      <w:r w:rsidR="00B26B71">
        <w:rPr>
          <w:rFonts w:ascii="Arial" w:hAnsi="Arial" w:cs="Arial"/>
          <w:b/>
        </w:rPr>
        <w:t>,</w:t>
      </w:r>
      <w:r w:rsidRPr="006055D9">
        <w:rPr>
          <w:rFonts w:ascii="Arial" w:hAnsi="Arial" w:cs="Arial"/>
          <w:b/>
        </w:rPr>
        <w:t xml:space="preserve"> en que la sociedad es gestora</w:t>
      </w:r>
      <w:r w:rsidR="00B26B71">
        <w:rPr>
          <w:rFonts w:ascii="Arial" w:hAnsi="Arial" w:cs="Arial"/>
          <w:b/>
        </w:rPr>
        <w:t>.</w:t>
      </w:r>
    </w:p>
    <w:p w:rsidR="006055D9" w:rsidRPr="006055D9" w:rsidRDefault="006055D9" w:rsidP="006055D9">
      <w:pPr>
        <w:jc w:val="both"/>
        <w:rPr>
          <w:rFonts w:ascii="Arial" w:hAnsi="Arial" w:cs="Arial"/>
          <w:b/>
        </w:rPr>
      </w:pPr>
    </w:p>
    <w:p w:rsidR="006055D9" w:rsidRPr="00B26B71" w:rsidRDefault="006055D9" w:rsidP="006055D9">
      <w:pPr>
        <w:jc w:val="both"/>
        <w:rPr>
          <w:rFonts w:ascii="Arial" w:hAnsi="Arial" w:cs="Arial"/>
        </w:rPr>
      </w:pPr>
      <w:r w:rsidRPr="00B26B71">
        <w:rPr>
          <w:rFonts w:ascii="Arial" w:hAnsi="Arial" w:cs="Arial"/>
        </w:rPr>
        <w:t>La persona se entiende relacionada</w:t>
      </w:r>
      <w:r w:rsidR="00B26B71" w:rsidRPr="00B26B71">
        <w:rPr>
          <w:rFonts w:ascii="Arial" w:hAnsi="Arial" w:cs="Arial"/>
        </w:rPr>
        <w:t xml:space="preserve"> con la sociedad</w:t>
      </w:r>
      <w:r w:rsidRPr="00B26B71">
        <w:rPr>
          <w:rFonts w:ascii="Arial" w:hAnsi="Arial" w:cs="Arial"/>
        </w:rPr>
        <w:t xml:space="preserve"> si participa en más de un 10% en el contrato de asociación u otro negocio de carácter fiduciario en que </w:t>
      </w:r>
      <w:r w:rsidR="00B26B71" w:rsidRPr="00B26B71">
        <w:rPr>
          <w:rFonts w:ascii="Arial" w:hAnsi="Arial" w:cs="Arial"/>
        </w:rPr>
        <w:t>dicha</w:t>
      </w:r>
      <w:r w:rsidRPr="00B26B71">
        <w:rPr>
          <w:rFonts w:ascii="Arial" w:hAnsi="Arial" w:cs="Arial"/>
        </w:rPr>
        <w:t xml:space="preserve"> sociedad es gestora.</w:t>
      </w:r>
    </w:p>
    <w:p w:rsidR="006055D9" w:rsidRPr="00B26B71" w:rsidRDefault="006055D9" w:rsidP="006055D9">
      <w:pPr>
        <w:jc w:val="both"/>
        <w:rPr>
          <w:rFonts w:ascii="Arial" w:hAnsi="Arial" w:cs="Arial"/>
        </w:rPr>
      </w:pPr>
    </w:p>
    <w:p w:rsidR="006055D9" w:rsidRPr="006055D9" w:rsidRDefault="006055D9" w:rsidP="00B26B71">
      <w:pPr>
        <w:numPr>
          <w:ilvl w:val="0"/>
          <w:numId w:val="40"/>
        </w:numPr>
        <w:tabs>
          <w:tab w:val="left" w:pos="284"/>
        </w:tabs>
        <w:ind w:left="0" w:firstLine="0"/>
        <w:jc w:val="both"/>
        <w:rPr>
          <w:rFonts w:ascii="Arial" w:hAnsi="Arial" w:cs="Arial"/>
          <w:b/>
        </w:rPr>
      </w:pPr>
      <w:r w:rsidRPr="006055D9">
        <w:rPr>
          <w:rFonts w:ascii="Arial" w:hAnsi="Arial" w:cs="Arial"/>
          <w:b/>
        </w:rPr>
        <w:t>Relación entre una persona socia de una sociedad con otra sociedad relacionada con ésta</w:t>
      </w:r>
      <w:r w:rsidR="00F91D63">
        <w:rPr>
          <w:rFonts w:ascii="Arial" w:hAnsi="Arial" w:cs="Arial"/>
          <w:b/>
        </w:rPr>
        <w:t>.</w:t>
      </w:r>
    </w:p>
    <w:p w:rsidR="006055D9" w:rsidRPr="006055D9" w:rsidRDefault="006055D9" w:rsidP="006055D9">
      <w:pPr>
        <w:jc w:val="both"/>
        <w:rPr>
          <w:rFonts w:ascii="Arial" w:hAnsi="Arial" w:cs="Arial"/>
          <w:b/>
        </w:rPr>
      </w:pPr>
    </w:p>
    <w:p w:rsidR="00686A19" w:rsidRPr="00073A12" w:rsidRDefault="00F91D63" w:rsidP="006055D9">
      <w:pPr>
        <w:jc w:val="both"/>
        <w:rPr>
          <w:rFonts w:ascii="Arial" w:hAnsi="Arial" w:cs="Arial"/>
        </w:rPr>
      </w:pPr>
      <w:r w:rsidRPr="00F91D63">
        <w:rPr>
          <w:rFonts w:ascii="Arial" w:hAnsi="Arial" w:cs="Arial"/>
        </w:rPr>
        <w:t>L</w:t>
      </w:r>
      <w:r w:rsidR="006055D9" w:rsidRPr="00F91D63">
        <w:rPr>
          <w:rFonts w:ascii="Arial" w:hAnsi="Arial" w:cs="Arial"/>
        </w:rPr>
        <w:t xml:space="preserve">as personas relacionadas con una </w:t>
      </w:r>
      <w:r w:rsidRPr="00F91D63">
        <w:rPr>
          <w:rFonts w:ascii="Arial" w:hAnsi="Arial" w:cs="Arial"/>
        </w:rPr>
        <w:t>sociedad</w:t>
      </w:r>
      <w:r w:rsidR="006055D9" w:rsidRPr="00F91D63">
        <w:rPr>
          <w:rFonts w:ascii="Arial" w:hAnsi="Arial" w:cs="Arial"/>
        </w:rPr>
        <w:t xml:space="preserve"> en los términos ya indicados</w:t>
      </w:r>
      <w:r w:rsidRPr="00F91D63">
        <w:rPr>
          <w:rFonts w:ascii="Arial" w:hAnsi="Arial" w:cs="Arial"/>
        </w:rPr>
        <w:t xml:space="preserve"> precedentemente</w:t>
      </w:r>
      <w:r w:rsidR="006055D9" w:rsidRPr="00F91D63">
        <w:rPr>
          <w:rFonts w:ascii="Arial" w:hAnsi="Arial" w:cs="Arial"/>
        </w:rPr>
        <w:t>, se entenderán relacionadas también con una segunda sociedad, cuando la primera se encuentre a su vez relacionada con ésta</w:t>
      </w:r>
      <w:r w:rsidRPr="00F91D63">
        <w:rPr>
          <w:rFonts w:ascii="Arial" w:hAnsi="Arial" w:cs="Arial"/>
        </w:rPr>
        <w:t>, y así sucesivamente</w:t>
      </w:r>
      <w:r w:rsidR="006055D9" w:rsidRPr="00F91D63">
        <w:rPr>
          <w:rFonts w:ascii="Arial" w:hAnsi="Arial" w:cs="Arial"/>
        </w:rPr>
        <w:t>.</w:t>
      </w:r>
      <w:r w:rsidR="0012693D">
        <w:rPr>
          <w:rFonts w:ascii="Arial" w:hAnsi="Arial" w:cs="Arial"/>
        </w:rPr>
        <w:t xml:space="preserve"> </w:t>
      </w:r>
      <w:r w:rsidR="006055D9" w:rsidRPr="00073A12">
        <w:rPr>
          <w:rFonts w:ascii="Arial" w:hAnsi="Arial" w:cs="Arial"/>
        </w:rPr>
        <w:t>Lo expresado en esta parte significa que una persona puede estar relacionada con una sociedad explotadora minera a través de otra que no desarrolla esta actividad, situación en la cual procede computar el total de las ventas provenientes de la actividad de explotador minero de todas las personas y sociedades que explotan este rubro.</w:t>
      </w:r>
    </w:p>
    <w:p w:rsidR="000C7F67" w:rsidRDefault="000C7F67">
      <w:bookmarkStart w:id="0" w:name="RANGE!B2:G44"/>
      <w:r>
        <w:br w:type="page"/>
      </w:r>
    </w:p>
    <w:tbl>
      <w:tblPr>
        <w:tblW w:w="6540" w:type="dxa"/>
        <w:tblInd w:w="52" w:type="dxa"/>
        <w:tblCellMar>
          <w:left w:w="70" w:type="dxa"/>
          <w:right w:w="70" w:type="dxa"/>
        </w:tblCellMar>
        <w:tblLook w:val="04A0" w:firstRow="1" w:lastRow="0" w:firstColumn="1" w:lastColumn="0" w:noHBand="0" w:noVBand="1"/>
      </w:tblPr>
      <w:tblGrid>
        <w:gridCol w:w="500"/>
        <w:gridCol w:w="640"/>
        <w:gridCol w:w="640"/>
        <w:gridCol w:w="700"/>
        <w:gridCol w:w="1860"/>
        <w:gridCol w:w="2200"/>
      </w:tblGrid>
      <w:tr w:rsidR="00F34828" w:rsidRPr="00971F51" w:rsidTr="00774887">
        <w:trPr>
          <w:trHeight w:val="240"/>
        </w:trPr>
        <w:tc>
          <w:tcPr>
            <w:tcW w:w="6540" w:type="dxa"/>
            <w:gridSpan w:val="6"/>
            <w:tcBorders>
              <w:top w:val="nil"/>
              <w:left w:val="nil"/>
              <w:bottom w:val="nil"/>
              <w:right w:val="nil"/>
            </w:tcBorders>
            <w:shd w:val="clear" w:color="000000" w:fill="FFFFFF"/>
            <w:noWrap/>
            <w:vAlign w:val="bottom"/>
            <w:hideMark/>
          </w:tcPr>
          <w:p w:rsidR="00F34828" w:rsidRPr="00ED66AC" w:rsidRDefault="00ED66AC" w:rsidP="00774887">
            <w:pPr>
              <w:jc w:val="center"/>
              <w:rPr>
                <w:rFonts w:ascii="Arial" w:hAnsi="Arial" w:cs="Arial"/>
                <w:b/>
                <w:bCs/>
                <w:lang w:eastAsia="es-CL"/>
              </w:rPr>
            </w:pPr>
            <w:r w:rsidRPr="00ED66AC">
              <w:rPr>
                <w:rFonts w:ascii="Arial" w:hAnsi="Arial" w:cs="Arial"/>
                <w:b/>
                <w:bCs/>
                <w:lang w:eastAsia="es-CL"/>
              </w:rPr>
              <w:t>ANEXO N°</w:t>
            </w:r>
            <w:r w:rsidR="00F34828" w:rsidRPr="00ED66AC">
              <w:rPr>
                <w:rFonts w:ascii="Arial" w:hAnsi="Arial" w:cs="Arial"/>
                <w:b/>
                <w:bCs/>
                <w:lang w:eastAsia="es-CL"/>
              </w:rPr>
              <w:t>4</w:t>
            </w:r>
            <w:bookmarkEnd w:id="0"/>
            <w:r w:rsidRPr="00ED66AC">
              <w:rPr>
                <w:rFonts w:ascii="Arial" w:hAnsi="Arial" w:cs="Arial"/>
                <w:b/>
                <w:bCs/>
                <w:lang w:eastAsia="es-CL"/>
              </w:rPr>
              <w:t xml:space="preserve"> TASA EFECTIVA LETRA b) INC. 3° ART. 64 BIS.</w:t>
            </w:r>
          </w:p>
        </w:tc>
      </w:tr>
      <w:tr w:rsidR="00F34828" w:rsidRPr="00971F51" w:rsidTr="00774887">
        <w:trPr>
          <w:trHeight w:val="180"/>
        </w:trPr>
        <w:tc>
          <w:tcPr>
            <w:tcW w:w="500" w:type="dxa"/>
            <w:tcBorders>
              <w:top w:val="nil"/>
              <w:left w:val="nil"/>
              <w:bottom w:val="nil"/>
              <w:right w:val="nil"/>
            </w:tcBorders>
            <w:shd w:val="clear" w:color="000000" w:fill="FFFFFF"/>
            <w:noWrap/>
            <w:vAlign w:val="bottom"/>
            <w:hideMark/>
          </w:tcPr>
          <w:p w:rsidR="00F34828" w:rsidRPr="00971F51" w:rsidRDefault="00F34828" w:rsidP="00774887">
            <w:pPr>
              <w:jc w:val="center"/>
              <w:rPr>
                <w:rFonts w:ascii="Arial" w:hAnsi="Arial" w:cs="Arial"/>
                <w:b/>
                <w:bCs/>
                <w:sz w:val="18"/>
                <w:szCs w:val="18"/>
                <w:lang w:eastAsia="es-CL"/>
              </w:rPr>
            </w:pPr>
            <w:r w:rsidRPr="00971F51">
              <w:rPr>
                <w:rFonts w:ascii="Arial" w:hAnsi="Arial" w:cs="Arial"/>
                <w:b/>
                <w:bCs/>
                <w:sz w:val="18"/>
                <w:szCs w:val="18"/>
                <w:lang w:eastAsia="es-CL"/>
              </w:rPr>
              <w:t> </w:t>
            </w:r>
          </w:p>
        </w:tc>
        <w:tc>
          <w:tcPr>
            <w:tcW w:w="640" w:type="dxa"/>
            <w:tcBorders>
              <w:top w:val="nil"/>
              <w:left w:val="nil"/>
              <w:bottom w:val="nil"/>
              <w:right w:val="nil"/>
            </w:tcBorders>
            <w:shd w:val="clear" w:color="000000" w:fill="FFFFFF"/>
            <w:noWrap/>
            <w:vAlign w:val="bottom"/>
            <w:hideMark/>
          </w:tcPr>
          <w:p w:rsidR="00F34828" w:rsidRPr="00971F51" w:rsidRDefault="00F34828" w:rsidP="00774887">
            <w:pPr>
              <w:jc w:val="center"/>
              <w:rPr>
                <w:rFonts w:ascii="Arial" w:hAnsi="Arial" w:cs="Arial"/>
                <w:b/>
                <w:bCs/>
                <w:sz w:val="18"/>
                <w:szCs w:val="18"/>
                <w:lang w:eastAsia="es-CL"/>
              </w:rPr>
            </w:pPr>
            <w:r w:rsidRPr="00971F51">
              <w:rPr>
                <w:rFonts w:ascii="Arial" w:hAnsi="Arial" w:cs="Arial"/>
                <w:b/>
                <w:bCs/>
                <w:sz w:val="18"/>
                <w:szCs w:val="18"/>
                <w:lang w:eastAsia="es-CL"/>
              </w:rPr>
              <w:t> </w:t>
            </w:r>
          </w:p>
        </w:tc>
        <w:tc>
          <w:tcPr>
            <w:tcW w:w="640" w:type="dxa"/>
            <w:tcBorders>
              <w:top w:val="nil"/>
              <w:left w:val="nil"/>
              <w:bottom w:val="nil"/>
              <w:right w:val="nil"/>
            </w:tcBorders>
            <w:shd w:val="clear" w:color="000000" w:fill="FFFFFF"/>
            <w:noWrap/>
            <w:vAlign w:val="bottom"/>
            <w:hideMark/>
          </w:tcPr>
          <w:p w:rsidR="00F34828" w:rsidRPr="00971F51" w:rsidRDefault="00F34828" w:rsidP="00774887">
            <w:pPr>
              <w:jc w:val="center"/>
              <w:rPr>
                <w:rFonts w:ascii="Arial" w:hAnsi="Arial" w:cs="Arial"/>
                <w:b/>
                <w:bCs/>
                <w:sz w:val="18"/>
                <w:szCs w:val="18"/>
                <w:lang w:eastAsia="es-CL"/>
              </w:rPr>
            </w:pPr>
            <w:r w:rsidRPr="00971F51">
              <w:rPr>
                <w:rFonts w:ascii="Arial" w:hAnsi="Arial" w:cs="Arial"/>
                <w:b/>
                <w:bCs/>
                <w:sz w:val="18"/>
                <w:szCs w:val="18"/>
                <w:lang w:eastAsia="es-CL"/>
              </w:rPr>
              <w:t> </w:t>
            </w:r>
          </w:p>
        </w:tc>
        <w:tc>
          <w:tcPr>
            <w:tcW w:w="700" w:type="dxa"/>
            <w:tcBorders>
              <w:top w:val="nil"/>
              <w:left w:val="nil"/>
              <w:bottom w:val="nil"/>
              <w:right w:val="nil"/>
            </w:tcBorders>
            <w:shd w:val="clear" w:color="000000" w:fill="FFFFFF"/>
            <w:noWrap/>
            <w:vAlign w:val="bottom"/>
            <w:hideMark/>
          </w:tcPr>
          <w:p w:rsidR="00F34828" w:rsidRPr="00971F51" w:rsidRDefault="00F34828" w:rsidP="00774887">
            <w:pPr>
              <w:jc w:val="center"/>
              <w:rPr>
                <w:rFonts w:ascii="Arial" w:hAnsi="Arial" w:cs="Arial"/>
                <w:b/>
                <w:bCs/>
                <w:sz w:val="18"/>
                <w:szCs w:val="18"/>
                <w:lang w:eastAsia="es-CL"/>
              </w:rPr>
            </w:pPr>
            <w:r w:rsidRPr="00971F51">
              <w:rPr>
                <w:rFonts w:ascii="Arial" w:hAnsi="Arial" w:cs="Arial"/>
                <w:b/>
                <w:bCs/>
                <w:sz w:val="18"/>
                <w:szCs w:val="18"/>
                <w:lang w:eastAsia="es-CL"/>
              </w:rPr>
              <w:t> </w:t>
            </w:r>
          </w:p>
        </w:tc>
        <w:tc>
          <w:tcPr>
            <w:tcW w:w="1860" w:type="dxa"/>
            <w:tcBorders>
              <w:top w:val="nil"/>
              <w:left w:val="nil"/>
              <w:bottom w:val="nil"/>
              <w:right w:val="nil"/>
            </w:tcBorders>
            <w:shd w:val="clear" w:color="000000" w:fill="FFFFFF"/>
            <w:noWrap/>
            <w:vAlign w:val="bottom"/>
            <w:hideMark/>
          </w:tcPr>
          <w:p w:rsidR="00F34828" w:rsidRPr="00971F51" w:rsidRDefault="00F34828" w:rsidP="00774887">
            <w:pPr>
              <w:jc w:val="center"/>
              <w:rPr>
                <w:rFonts w:ascii="Arial" w:hAnsi="Arial" w:cs="Arial"/>
                <w:b/>
                <w:bCs/>
                <w:sz w:val="18"/>
                <w:szCs w:val="18"/>
                <w:lang w:eastAsia="es-CL"/>
              </w:rPr>
            </w:pPr>
            <w:r w:rsidRPr="00971F51">
              <w:rPr>
                <w:rFonts w:ascii="Arial" w:hAnsi="Arial" w:cs="Arial"/>
                <w:b/>
                <w:bCs/>
                <w:sz w:val="18"/>
                <w:szCs w:val="18"/>
                <w:lang w:eastAsia="es-CL"/>
              </w:rPr>
              <w:t> </w:t>
            </w:r>
          </w:p>
        </w:tc>
        <w:tc>
          <w:tcPr>
            <w:tcW w:w="2200" w:type="dxa"/>
            <w:tcBorders>
              <w:top w:val="nil"/>
              <w:left w:val="nil"/>
              <w:bottom w:val="nil"/>
              <w:right w:val="nil"/>
            </w:tcBorders>
            <w:shd w:val="clear" w:color="000000" w:fill="FFFFFF"/>
            <w:noWrap/>
            <w:vAlign w:val="bottom"/>
            <w:hideMark/>
          </w:tcPr>
          <w:p w:rsidR="00F34828" w:rsidRPr="00ED66AC" w:rsidRDefault="00F34828" w:rsidP="00774887">
            <w:pPr>
              <w:jc w:val="center"/>
              <w:rPr>
                <w:rFonts w:ascii="Arial" w:hAnsi="Arial" w:cs="Arial"/>
                <w:b/>
                <w:bCs/>
                <w:lang w:eastAsia="es-CL"/>
              </w:rPr>
            </w:pPr>
            <w:r w:rsidRPr="00ED66AC">
              <w:rPr>
                <w:rFonts w:ascii="Arial" w:hAnsi="Arial" w:cs="Arial"/>
                <w:b/>
                <w:bCs/>
                <w:lang w:eastAsia="es-CL"/>
              </w:rPr>
              <w:t> </w:t>
            </w:r>
          </w:p>
        </w:tc>
      </w:tr>
      <w:tr w:rsidR="00F34828" w:rsidRPr="00971F51" w:rsidTr="00774887">
        <w:trPr>
          <w:trHeight w:val="804"/>
        </w:trPr>
        <w:tc>
          <w:tcPr>
            <w:tcW w:w="6540" w:type="dxa"/>
            <w:gridSpan w:val="6"/>
            <w:tcBorders>
              <w:top w:val="single" w:sz="8" w:space="0" w:color="auto"/>
              <w:left w:val="single" w:sz="8" w:space="0" w:color="auto"/>
              <w:bottom w:val="nil"/>
              <w:right w:val="single" w:sz="8" w:space="0" w:color="000000"/>
            </w:tcBorders>
            <w:shd w:val="clear" w:color="000000" w:fill="FFFFFF"/>
            <w:hideMark/>
          </w:tcPr>
          <w:p w:rsidR="00F34828" w:rsidRPr="00971F51" w:rsidRDefault="00F34828" w:rsidP="00774887">
            <w:pPr>
              <w:jc w:val="both"/>
              <w:rPr>
                <w:rFonts w:ascii="Arial" w:hAnsi="Arial" w:cs="Arial"/>
                <w:color w:val="000000"/>
                <w:sz w:val="18"/>
                <w:szCs w:val="18"/>
                <w:lang w:eastAsia="es-CL"/>
              </w:rPr>
            </w:pPr>
            <w:r w:rsidRPr="00971F51">
              <w:rPr>
                <w:rFonts w:ascii="Arial" w:hAnsi="Arial" w:cs="Arial"/>
                <w:color w:val="000000"/>
                <w:sz w:val="18"/>
                <w:szCs w:val="18"/>
                <w:lang w:eastAsia="es-CL"/>
              </w:rPr>
              <w:t xml:space="preserve">Tasa a aplicar respecto de aquellos explotadores mineros cuyas ventas anuales  sean iguales o inferiores al valor equivalente a 50.000 toneladas métricas de cobre  fino y superiores al valor equivalente a 12.000 toneladas métricas de cobre fino. </w:t>
            </w:r>
          </w:p>
        </w:tc>
      </w:tr>
      <w:tr w:rsidR="00F34828" w:rsidRPr="00971F51" w:rsidTr="00774887">
        <w:trPr>
          <w:trHeight w:val="525"/>
        </w:trPr>
        <w:tc>
          <w:tcPr>
            <w:tcW w:w="2480" w:type="dxa"/>
            <w:gridSpan w:val="4"/>
            <w:tcBorders>
              <w:top w:val="single" w:sz="8" w:space="0" w:color="auto"/>
              <w:left w:val="single" w:sz="8" w:space="0" w:color="auto"/>
              <w:bottom w:val="single" w:sz="8" w:space="0" w:color="auto"/>
              <w:right w:val="nil"/>
            </w:tcBorders>
            <w:shd w:val="clear" w:color="000000" w:fill="BFBFBF"/>
            <w:hideMark/>
          </w:tcPr>
          <w:p w:rsidR="00F34828" w:rsidRPr="00971F51" w:rsidRDefault="00F34828" w:rsidP="00774887">
            <w:pPr>
              <w:jc w:val="center"/>
              <w:rPr>
                <w:rFonts w:ascii="Arial" w:hAnsi="Arial" w:cs="Arial"/>
                <w:b/>
                <w:bCs/>
                <w:color w:val="000000"/>
                <w:sz w:val="18"/>
                <w:szCs w:val="18"/>
                <w:lang w:eastAsia="es-CL"/>
              </w:rPr>
            </w:pPr>
            <w:r w:rsidRPr="00971F51">
              <w:rPr>
                <w:rFonts w:ascii="Arial" w:hAnsi="Arial" w:cs="Arial"/>
                <w:b/>
                <w:bCs/>
                <w:color w:val="000000"/>
                <w:sz w:val="18"/>
                <w:szCs w:val="18"/>
                <w:lang w:eastAsia="es-CL"/>
              </w:rPr>
              <w:t>T</w:t>
            </w:r>
            <w:r>
              <w:rPr>
                <w:rFonts w:ascii="Arial" w:hAnsi="Arial" w:cs="Arial"/>
                <w:b/>
                <w:bCs/>
                <w:color w:val="000000"/>
                <w:sz w:val="18"/>
                <w:szCs w:val="18"/>
                <w:lang w:eastAsia="es-CL"/>
              </w:rPr>
              <w:t>abla N° 1: R</w:t>
            </w:r>
            <w:r w:rsidRPr="00971F51">
              <w:rPr>
                <w:rFonts w:ascii="Arial" w:hAnsi="Arial" w:cs="Arial"/>
                <w:b/>
                <w:bCs/>
                <w:color w:val="000000"/>
                <w:sz w:val="18"/>
                <w:szCs w:val="18"/>
                <w:lang w:eastAsia="es-CL"/>
              </w:rPr>
              <w:t>ango en Miles de Toneladas</w:t>
            </w:r>
            <w:r>
              <w:rPr>
                <w:rFonts w:ascii="Arial" w:hAnsi="Arial" w:cs="Arial"/>
                <w:b/>
                <w:bCs/>
                <w:color w:val="000000"/>
                <w:sz w:val="18"/>
                <w:szCs w:val="18"/>
                <w:lang w:eastAsia="es-CL"/>
              </w:rPr>
              <w:t>.</w:t>
            </w:r>
          </w:p>
        </w:tc>
        <w:tc>
          <w:tcPr>
            <w:tcW w:w="1860" w:type="dxa"/>
            <w:tcBorders>
              <w:top w:val="single" w:sz="8" w:space="0" w:color="auto"/>
              <w:left w:val="single" w:sz="8" w:space="0" w:color="auto"/>
              <w:bottom w:val="single" w:sz="8" w:space="0" w:color="auto"/>
              <w:right w:val="single" w:sz="8" w:space="0" w:color="auto"/>
            </w:tcBorders>
            <w:shd w:val="clear" w:color="000000" w:fill="BFBFBF"/>
            <w:hideMark/>
          </w:tcPr>
          <w:p w:rsidR="00F34828" w:rsidRPr="00971F51" w:rsidRDefault="00F34828" w:rsidP="00774887">
            <w:pPr>
              <w:jc w:val="center"/>
              <w:rPr>
                <w:rFonts w:ascii="Arial" w:hAnsi="Arial" w:cs="Arial"/>
                <w:b/>
                <w:bCs/>
                <w:color w:val="000000"/>
                <w:sz w:val="18"/>
                <w:szCs w:val="18"/>
                <w:lang w:eastAsia="es-CL"/>
              </w:rPr>
            </w:pPr>
            <w:r w:rsidRPr="00971F51">
              <w:rPr>
                <w:rFonts w:ascii="Arial" w:hAnsi="Arial" w:cs="Arial"/>
                <w:b/>
                <w:bCs/>
                <w:color w:val="000000"/>
                <w:sz w:val="18"/>
                <w:szCs w:val="18"/>
                <w:lang w:eastAsia="es-CL"/>
              </w:rPr>
              <w:t>Tabla N°2: Tasa  Marginal</w:t>
            </w:r>
            <w:r>
              <w:rPr>
                <w:rFonts w:ascii="Arial" w:hAnsi="Arial" w:cs="Arial"/>
                <w:b/>
                <w:bCs/>
                <w:color w:val="000000"/>
                <w:sz w:val="18"/>
                <w:szCs w:val="18"/>
                <w:lang w:eastAsia="es-CL"/>
              </w:rPr>
              <w:t>.</w:t>
            </w:r>
            <w:r w:rsidRPr="00971F51">
              <w:rPr>
                <w:rFonts w:ascii="Arial" w:hAnsi="Arial" w:cs="Arial"/>
                <w:b/>
                <w:bCs/>
                <w:color w:val="000000"/>
                <w:sz w:val="18"/>
                <w:szCs w:val="18"/>
                <w:lang w:eastAsia="es-CL"/>
              </w:rPr>
              <w:t xml:space="preserve"> </w:t>
            </w:r>
          </w:p>
        </w:tc>
        <w:tc>
          <w:tcPr>
            <w:tcW w:w="2200" w:type="dxa"/>
            <w:tcBorders>
              <w:top w:val="single" w:sz="8" w:space="0" w:color="auto"/>
              <w:left w:val="nil"/>
              <w:bottom w:val="single" w:sz="8" w:space="0" w:color="auto"/>
              <w:right w:val="single" w:sz="8" w:space="0" w:color="auto"/>
            </w:tcBorders>
            <w:shd w:val="clear" w:color="000000" w:fill="BFBFBF"/>
            <w:hideMark/>
          </w:tcPr>
          <w:p w:rsidR="00F34828" w:rsidRPr="00971F51" w:rsidRDefault="00F34828" w:rsidP="00774887">
            <w:pPr>
              <w:jc w:val="center"/>
              <w:rPr>
                <w:rFonts w:ascii="Arial" w:hAnsi="Arial" w:cs="Arial"/>
                <w:b/>
                <w:bCs/>
                <w:color w:val="000000"/>
                <w:sz w:val="18"/>
                <w:szCs w:val="18"/>
                <w:lang w:eastAsia="es-CL"/>
              </w:rPr>
            </w:pPr>
            <w:r w:rsidRPr="00971F51">
              <w:rPr>
                <w:rFonts w:ascii="Arial" w:hAnsi="Arial" w:cs="Arial"/>
                <w:b/>
                <w:bCs/>
                <w:color w:val="000000"/>
                <w:sz w:val="18"/>
                <w:szCs w:val="18"/>
                <w:lang w:eastAsia="es-CL"/>
              </w:rPr>
              <w:t>Tabla N° 3: Tasa efectiva.</w:t>
            </w:r>
          </w:p>
        </w:tc>
      </w:tr>
      <w:tr w:rsidR="00F34828" w:rsidRPr="00971F51" w:rsidTr="00774887">
        <w:trPr>
          <w:trHeight w:val="255"/>
        </w:trPr>
        <w:tc>
          <w:tcPr>
            <w:tcW w:w="500" w:type="dxa"/>
            <w:tcBorders>
              <w:top w:val="nil"/>
              <w:left w:val="single" w:sz="8" w:space="0" w:color="auto"/>
              <w:bottom w:val="nil"/>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nil"/>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w:t>
            </w:r>
          </w:p>
        </w:tc>
        <w:tc>
          <w:tcPr>
            <w:tcW w:w="640" w:type="dxa"/>
            <w:tcBorders>
              <w:top w:val="nil"/>
              <w:left w:val="nil"/>
              <w:bottom w:val="nil"/>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nil"/>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12</w:t>
            </w:r>
          </w:p>
        </w:tc>
        <w:tc>
          <w:tcPr>
            <w:tcW w:w="1860" w:type="dxa"/>
            <w:tcBorders>
              <w:top w:val="nil"/>
              <w:left w:val="single" w:sz="8" w:space="0" w:color="auto"/>
              <w:bottom w:val="nil"/>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0,00%</w:t>
            </w:r>
          </w:p>
        </w:tc>
        <w:tc>
          <w:tcPr>
            <w:tcW w:w="2200" w:type="dxa"/>
            <w:tcBorders>
              <w:top w:val="nil"/>
              <w:left w:val="nil"/>
              <w:bottom w:val="nil"/>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0,00%</w:t>
            </w:r>
          </w:p>
        </w:tc>
      </w:tr>
      <w:tr w:rsidR="00F34828" w:rsidRPr="00971F51" w:rsidTr="00774887">
        <w:trPr>
          <w:trHeight w:val="240"/>
        </w:trPr>
        <w:tc>
          <w:tcPr>
            <w:tcW w:w="500" w:type="dxa"/>
            <w:tcBorders>
              <w:top w:val="single" w:sz="8" w:space="0" w:color="auto"/>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single" w:sz="8" w:space="0" w:color="auto"/>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12</w:t>
            </w:r>
          </w:p>
        </w:tc>
        <w:tc>
          <w:tcPr>
            <w:tcW w:w="640" w:type="dxa"/>
            <w:tcBorders>
              <w:top w:val="single" w:sz="8" w:space="0" w:color="auto"/>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single" w:sz="8" w:space="0" w:color="auto"/>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13</w:t>
            </w:r>
          </w:p>
        </w:tc>
        <w:tc>
          <w:tcPr>
            <w:tcW w:w="1860" w:type="dxa"/>
            <w:tcBorders>
              <w:top w:val="single" w:sz="8" w:space="0" w:color="auto"/>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0,50%</w:t>
            </w:r>
          </w:p>
        </w:tc>
        <w:tc>
          <w:tcPr>
            <w:tcW w:w="2200" w:type="dxa"/>
            <w:tcBorders>
              <w:top w:val="single" w:sz="8" w:space="0" w:color="auto"/>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0,04%</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13</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14</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0,50%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0,07%</w:t>
            </w:r>
          </w:p>
        </w:tc>
      </w:tr>
      <w:tr w:rsidR="00F34828" w:rsidRPr="00971F51" w:rsidTr="00774887">
        <w:trPr>
          <w:trHeight w:val="255"/>
        </w:trPr>
        <w:tc>
          <w:tcPr>
            <w:tcW w:w="500" w:type="dxa"/>
            <w:tcBorders>
              <w:top w:val="nil"/>
              <w:left w:val="single" w:sz="8" w:space="0" w:color="auto"/>
              <w:bottom w:val="single" w:sz="8"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8"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14</w:t>
            </w:r>
          </w:p>
        </w:tc>
        <w:tc>
          <w:tcPr>
            <w:tcW w:w="640" w:type="dxa"/>
            <w:tcBorders>
              <w:top w:val="nil"/>
              <w:left w:val="nil"/>
              <w:bottom w:val="single" w:sz="8"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8"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15</w:t>
            </w:r>
          </w:p>
        </w:tc>
        <w:tc>
          <w:tcPr>
            <w:tcW w:w="1860" w:type="dxa"/>
            <w:tcBorders>
              <w:top w:val="nil"/>
              <w:left w:val="single" w:sz="8" w:space="0" w:color="auto"/>
              <w:bottom w:val="single" w:sz="8"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0,50%</w:t>
            </w:r>
          </w:p>
        </w:tc>
        <w:tc>
          <w:tcPr>
            <w:tcW w:w="2200" w:type="dxa"/>
            <w:tcBorders>
              <w:top w:val="nil"/>
              <w:left w:val="nil"/>
              <w:bottom w:val="single" w:sz="8"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0,10%</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15</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16</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1,00%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0,16%</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16</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17</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1,00%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0,21%</w:t>
            </w:r>
          </w:p>
        </w:tc>
      </w:tr>
      <w:tr w:rsidR="00F34828" w:rsidRPr="00971F51" w:rsidTr="00774887">
        <w:trPr>
          <w:trHeight w:val="240"/>
        </w:trPr>
        <w:tc>
          <w:tcPr>
            <w:tcW w:w="500" w:type="dxa"/>
            <w:tcBorders>
              <w:top w:val="nil"/>
              <w:left w:val="single" w:sz="8" w:space="0" w:color="auto"/>
              <w:bottom w:val="nil"/>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nil"/>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17</w:t>
            </w:r>
          </w:p>
        </w:tc>
        <w:tc>
          <w:tcPr>
            <w:tcW w:w="640" w:type="dxa"/>
            <w:tcBorders>
              <w:top w:val="nil"/>
              <w:left w:val="nil"/>
              <w:bottom w:val="nil"/>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nil"/>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18</w:t>
            </w:r>
          </w:p>
        </w:tc>
        <w:tc>
          <w:tcPr>
            <w:tcW w:w="1860" w:type="dxa"/>
            <w:tcBorders>
              <w:top w:val="nil"/>
              <w:left w:val="single" w:sz="8" w:space="0" w:color="auto"/>
              <w:bottom w:val="nil"/>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1,00%</w:t>
            </w:r>
          </w:p>
        </w:tc>
        <w:tc>
          <w:tcPr>
            <w:tcW w:w="2200" w:type="dxa"/>
            <w:tcBorders>
              <w:top w:val="nil"/>
              <w:left w:val="nil"/>
              <w:bottom w:val="nil"/>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0,25%</w:t>
            </w:r>
          </w:p>
        </w:tc>
      </w:tr>
      <w:tr w:rsidR="00F34828" w:rsidRPr="00971F51" w:rsidTr="00774887">
        <w:trPr>
          <w:trHeight w:val="240"/>
        </w:trPr>
        <w:tc>
          <w:tcPr>
            <w:tcW w:w="500" w:type="dxa"/>
            <w:tcBorders>
              <w:top w:val="single" w:sz="4" w:space="0" w:color="auto"/>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18</w:t>
            </w:r>
          </w:p>
        </w:tc>
        <w:tc>
          <w:tcPr>
            <w:tcW w:w="640" w:type="dxa"/>
            <w:tcBorders>
              <w:top w:val="single" w:sz="4" w:space="0" w:color="auto"/>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single" w:sz="4" w:space="0" w:color="auto"/>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19</w:t>
            </w:r>
          </w:p>
        </w:tc>
        <w:tc>
          <w:tcPr>
            <w:tcW w:w="1860" w:type="dxa"/>
            <w:tcBorders>
              <w:top w:val="single" w:sz="4" w:space="0" w:color="auto"/>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1,00%</w:t>
            </w:r>
          </w:p>
        </w:tc>
        <w:tc>
          <w:tcPr>
            <w:tcW w:w="2200" w:type="dxa"/>
            <w:tcBorders>
              <w:top w:val="single" w:sz="4" w:space="0" w:color="auto"/>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0,29%</w:t>
            </w:r>
          </w:p>
        </w:tc>
      </w:tr>
      <w:tr w:rsidR="00F34828" w:rsidRPr="00971F51" w:rsidTr="00774887">
        <w:trPr>
          <w:trHeight w:val="255"/>
        </w:trPr>
        <w:tc>
          <w:tcPr>
            <w:tcW w:w="500" w:type="dxa"/>
            <w:tcBorders>
              <w:top w:val="nil"/>
              <w:left w:val="single" w:sz="8" w:space="0" w:color="auto"/>
              <w:bottom w:val="single" w:sz="8"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8"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19</w:t>
            </w:r>
          </w:p>
        </w:tc>
        <w:tc>
          <w:tcPr>
            <w:tcW w:w="640" w:type="dxa"/>
            <w:tcBorders>
              <w:top w:val="nil"/>
              <w:left w:val="nil"/>
              <w:bottom w:val="single" w:sz="8"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8"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20</w:t>
            </w:r>
          </w:p>
        </w:tc>
        <w:tc>
          <w:tcPr>
            <w:tcW w:w="1860" w:type="dxa"/>
            <w:tcBorders>
              <w:top w:val="nil"/>
              <w:left w:val="single" w:sz="8" w:space="0" w:color="auto"/>
              <w:bottom w:val="single" w:sz="8"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1,00%</w:t>
            </w:r>
          </w:p>
        </w:tc>
        <w:tc>
          <w:tcPr>
            <w:tcW w:w="2200" w:type="dxa"/>
            <w:tcBorders>
              <w:top w:val="nil"/>
              <w:left w:val="nil"/>
              <w:bottom w:val="single" w:sz="8"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0,33%</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20</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21</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1,50%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0,38%</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21</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22</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1,50%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0,43%</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22</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23</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1,50%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0,48%</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23</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24</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1,50%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0,52%</w:t>
            </w:r>
          </w:p>
        </w:tc>
      </w:tr>
      <w:tr w:rsidR="00F34828" w:rsidRPr="00971F51" w:rsidTr="00774887">
        <w:trPr>
          <w:trHeight w:val="255"/>
        </w:trPr>
        <w:tc>
          <w:tcPr>
            <w:tcW w:w="500" w:type="dxa"/>
            <w:tcBorders>
              <w:top w:val="nil"/>
              <w:left w:val="single" w:sz="8" w:space="0" w:color="auto"/>
              <w:bottom w:val="nil"/>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nil"/>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24</w:t>
            </w:r>
          </w:p>
        </w:tc>
        <w:tc>
          <w:tcPr>
            <w:tcW w:w="640" w:type="dxa"/>
            <w:tcBorders>
              <w:top w:val="nil"/>
              <w:left w:val="nil"/>
              <w:bottom w:val="nil"/>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nil"/>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25</w:t>
            </w:r>
          </w:p>
        </w:tc>
        <w:tc>
          <w:tcPr>
            <w:tcW w:w="1860" w:type="dxa"/>
            <w:tcBorders>
              <w:top w:val="nil"/>
              <w:left w:val="single" w:sz="8" w:space="0" w:color="auto"/>
              <w:bottom w:val="nil"/>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1,50%</w:t>
            </w:r>
          </w:p>
        </w:tc>
        <w:tc>
          <w:tcPr>
            <w:tcW w:w="2200" w:type="dxa"/>
            <w:tcBorders>
              <w:top w:val="nil"/>
              <w:left w:val="nil"/>
              <w:bottom w:val="nil"/>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0,56%</w:t>
            </w:r>
          </w:p>
        </w:tc>
      </w:tr>
      <w:tr w:rsidR="00F34828" w:rsidRPr="00971F51" w:rsidTr="00774887">
        <w:trPr>
          <w:trHeight w:val="240"/>
        </w:trPr>
        <w:tc>
          <w:tcPr>
            <w:tcW w:w="500" w:type="dxa"/>
            <w:tcBorders>
              <w:top w:val="single" w:sz="8" w:space="0" w:color="auto"/>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single" w:sz="8" w:space="0" w:color="auto"/>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25</w:t>
            </w:r>
          </w:p>
        </w:tc>
        <w:tc>
          <w:tcPr>
            <w:tcW w:w="640" w:type="dxa"/>
            <w:tcBorders>
              <w:top w:val="single" w:sz="8" w:space="0" w:color="auto"/>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single" w:sz="8" w:space="0" w:color="auto"/>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26</w:t>
            </w:r>
          </w:p>
        </w:tc>
        <w:tc>
          <w:tcPr>
            <w:tcW w:w="1860" w:type="dxa"/>
            <w:tcBorders>
              <w:top w:val="single" w:sz="8" w:space="0" w:color="auto"/>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2,00%</w:t>
            </w:r>
          </w:p>
        </w:tc>
        <w:tc>
          <w:tcPr>
            <w:tcW w:w="2200" w:type="dxa"/>
            <w:tcBorders>
              <w:top w:val="single" w:sz="8" w:space="0" w:color="auto"/>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0,62%</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26</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27</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2,00%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0,67%</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27</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28</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2,00%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0,71%</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28</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29</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2,00%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0,76%</w:t>
            </w:r>
          </w:p>
        </w:tc>
      </w:tr>
      <w:tr w:rsidR="00F34828" w:rsidRPr="00971F51" w:rsidTr="00774887">
        <w:trPr>
          <w:trHeight w:val="255"/>
        </w:trPr>
        <w:tc>
          <w:tcPr>
            <w:tcW w:w="500" w:type="dxa"/>
            <w:tcBorders>
              <w:top w:val="nil"/>
              <w:left w:val="single" w:sz="8" w:space="0" w:color="auto"/>
              <w:bottom w:val="single" w:sz="8"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8"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29</w:t>
            </w:r>
          </w:p>
        </w:tc>
        <w:tc>
          <w:tcPr>
            <w:tcW w:w="640" w:type="dxa"/>
            <w:tcBorders>
              <w:top w:val="nil"/>
              <w:left w:val="nil"/>
              <w:bottom w:val="single" w:sz="8"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8"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30</w:t>
            </w:r>
          </w:p>
        </w:tc>
        <w:tc>
          <w:tcPr>
            <w:tcW w:w="1860" w:type="dxa"/>
            <w:tcBorders>
              <w:top w:val="nil"/>
              <w:left w:val="single" w:sz="8" w:space="0" w:color="auto"/>
              <w:bottom w:val="single" w:sz="8"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2,00%</w:t>
            </w:r>
          </w:p>
        </w:tc>
        <w:tc>
          <w:tcPr>
            <w:tcW w:w="2200" w:type="dxa"/>
            <w:tcBorders>
              <w:top w:val="nil"/>
              <w:left w:val="nil"/>
              <w:bottom w:val="single" w:sz="8"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0,80%</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30</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31</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2,50%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0,85%</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31</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32</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2,50%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0,91%</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32</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33</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2,50%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0,95%</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33</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34</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2,50%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1,00%</w:t>
            </w:r>
          </w:p>
        </w:tc>
      </w:tr>
      <w:tr w:rsidR="00F34828" w:rsidRPr="00971F51" w:rsidTr="00774887">
        <w:trPr>
          <w:trHeight w:val="255"/>
        </w:trPr>
        <w:tc>
          <w:tcPr>
            <w:tcW w:w="500" w:type="dxa"/>
            <w:tcBorders>
              <w:top w:val="nil"/>
              <w:left w:val="single" w:sz="8" w:space="0" w:color="auto"/>
              <w:bottom w:val="nil"/>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nil"/>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34</w:t>
            </w:r>
          </w:p>
        </w:tc>
        <w:tc>
          <w:tcPr>
            <w:tcW w:w="640" w:type="dxa"/>
            <w:tcBorders>
              <w:top w:val="nil"/>
              <w:left w:val="nil"/>
              <w:bottom w:val="nil"/>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nil"/>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35</w:t>
            </w:r>
          </w:p>
        </w:tc>
        <w:tc>
          <w:tcPr>
            <w:tcW w:w="1860" w:type="dxa"/>
            <w:tcBorders>
              <w:top w:val="nil"/>
              <w:left w:val="single" w:sz="8" w:space="0" w:color="auto"/>
              <w:bottom w:val="nil"/>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2,50%</w:t>
            </w:r>
          </w:p>
        </w:tc>
        <w:tc>
          <w:tcPr>
            <w:tcW w:w="2200" w:type="dxa"/>
            <w:tcBorders>
              <w:top w:val="nil"/>
              <w:left w:val="nil"/>
              <w:bottom w:val="nil"/>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1,04%</w:t>
            </w:r>
          </w:p>
        </w:tc>
      </w:tr>
      <w:tr w:rsidR="00F34828" w:rsidRPr="00971F51" w:rsidTr="00774887">
        <w:trPr>
          <w:trHeight w:val="240"/>
        </w:trPr>
        <w:tc>
          <w:tcPr>
            <w:tcW w:w="500" w:type="dxa"/>
            <w:tcBorders>
              <w:top w:val="single" w:sz="8" w:space="0" w:color="auto"/>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single" w:sz="8" w:space="0" w:color="auto"/>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35</w:t>
            </w:r>
          </w:p>
        </w:tc>
        <w:tc>
          <w:tcPr>
            <w:tcW w:w="640" w:type="dxa"/>
            <w:tcBorders>
              <w:top w:val="single" w:sz="8" w:space="0" w:color="auto"/>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single" w:sz="8" w:space="0" w:color="auto"/>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36</w:t>
            </w:r>
          </w:p>
        </w:tc>
        <w:tc>
          <w:tcPr>
            <w:tcW w:w="1860" w:type="dxa"/>
            <w:tcBorders>
              <w:top w:val="single" w:sz="8" w:space="0" w:color="auto"/>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3,00%</w:t>
            </w:r>
          </w:p>
        </w:tc>
        <w:tc>
          <w:tcPr>
            <w:tcW w:w="2200" w:type="dxa"/>
            <w:tcBorders>
              <w:top w:val="single" w:sz="8" w:space="0" w:color="auto"/>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1,10%</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36</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37</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3,00%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1,15%</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37</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38</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3,00%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1,20%</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38</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39</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3,00%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1,24%</w:t>
            </w:r>
          </w:p>
        </w:tc>
      </w:tr>
      <w:tr w:rsidR="00F34828" w:rsidRPr="00971F51" w:rsidTr="00774887">
        <w:trPr>
          <w:trHeight w:val="255"/>
        </w:trPr>
        <w:tc>
          <w:tcPr>
            <w:tcW w:w="500" w:type="dxa"/>
            <w:tcBorders>
              <w:top w:val="nil"/>
              <w:left w:val="single" w:sz="8" w:space="0" w:color="auto"/>
              <w:bottom w:val="single" w:sz="8"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8"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39</w:t>
            </w:r>
          </w:p>
        </w:tc>
        <w:tc>
          <w:tcPr>
            <w:tcW w:w="640" w:type="dxa"/>
            <w:tcBorders>
              <w:top w:val="nil"/>
              <w:left w:val="nil"/>
              <w:bottom w:val="single" w:sz="8"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8"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40</w:t>
            </w:r>
          </w:p>
        </w:tc>
        <w:tc>
          <w:tcPr>
            <w:tcW w:w="1860" w:type="dxa"/>
            <w:tcBorders>
              <w:top w:val="nil"/>
              <w:left w:val="single" w:sz="8" w:space="0" w:color="auto"/>
              <w:bottom w:val="single" w:sz="8"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3,00%</w:t>
            </w:r>
          </w:p>
        </w:tc>
        <w:tc>
          <w:tcPr>
            <w:tcW w:w="2200" w:type="dxa"/>
            <w:tcBorders>
              <w:top w:val="nil"/>
              <w:left w:val="nil"/>
              <w:bottom w:val="single" w:sz="8"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1,29%</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40</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41</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4,50%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1,37%</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41</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42</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4,50%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1,44%</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42</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43</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4,50%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1,51%</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43</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44</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4,50%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1,58%</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44</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45</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4,50%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1,64%</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45</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46</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4,50%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1,71%</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46</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47</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4,50%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1,77%</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47</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48</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4,50%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1,82%</w:t>
            </w:r>
          </w:p>
        </w:tc>
      </w:tr>
      <w:tr w:rsidR="00F34828" w:rsidRPr="00971F51" w:rsidTr="00774887">
        <w:trPr>
          <w:trHeight w:val="240"/>
        </w:trPr>
        <w:tc>
          <w:tcPr>
            <w:tcW w:w="500" w:type="dxa"/>
            <w:tcBorders>
              <w:top w:val="nil"/>
              <w:left w:val="single" w:sz="8" w:space="0" w:color="auto"/>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48</w:t>
            </w:r>
          </w:p>
        </w:tc>
        <w:tc>
          <w:tcPr>
            <w:tcW w:w="640" w:type="dxa"/>
            <w:tcBorders>
              <w:top w:val="nil"/>
              <w:left w:val="nil"/>
              <w:bottom w:val="single" w:sz="4"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4"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49</w:t>
            </w:r>
          </w:p>
        </w:tc>
        <w:tc>
          <w:tcPr>
            <w:tcW w:w="1860" w:type="dxa"/>
            <w:tcBorders>
              <w:top w:val="nil"/>
              <w:left w:val="single" w:sz="8" w:space="0" w:color="auto"/>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4,50%</w:t>
            </w:r>
          </w:p>
        </w:tc>
        <w:tc>
          <w:tcPr>
            <w:tcW w:w="2200" w:type="dxa"/>
            <w:tcBorders>
              <w:top w:val="nil"/>
              <w:left w:val="nil"/>
              <w:bottom w:val="single" w:sz="4"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1,88%</w:t>
            </w:r>
          </w:p>
        </w:tc>
      </w:tr>
      <w:tr w:rsidR="00F34828" w:rsidRPr="00971F51" w:rsidTr="00774887">
        <w:trPr>
          <w:trHeight w:val="255"/>
        </w:trPr>
        <w:tc>
          <w:tcPr>
            <w:tcW w:w="500" w:type="dxa"/>
            <w:tcBorders>
              <w:top w:val="nil"/>
              <w:left w:val="single" w:sz="8" w:space="0" w:color="auto"/>
              <w:bottom w:val="single" w:sz="8"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 </w:t>
            </w:r>
          </w:p>
        </w:tc>
        <w:tc>
          <w:tcPr>
            <w:tcW w:w="640" w:type="dxa"/>
            <w:tcBorders>
              <w:top w:val="nil"/>
              <w:left w:val="single" w:sz="4" w:space="0" w:color="auto"/>
              <w:bottom w:val="single" w:sz="8"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49</w:t>
            </w:r>
          </w:p>
        </w:tc>
        <w:tc>
          <w:tcPr>
            <w:tcW w:w="640" w:type="dxa"/>
            <w:tcBorders>
              <w:top w:val="nil"/>
              <w:left w:val="nil"/>
              <w:bottom w:val="single" w:sz="8" w:space="0" w:color="auto"/>
              <w:right w:val="single" w:sz="4"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 xml:space="preserve">a </w:t>
            </w:r>
          </w:p>
        </w:tc>
        <w:tc>
          <w:tcPr>
            <w:tcW w:w="700" w:type="dxa"/>
            <w:tcBorders>
              <w:top w:val="nil"/>
              <w:left w:val="nil"/>
              <w:bottom w:val="single" w:sz="8" w:space="0" w:color="auto"/>
              <w:right w:val="nil"/>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50</w:t>
            </w:r>
          </w:p>
        </w:tc>
        <w:tc>
          <w:tcPr>
            <w:tcW w:w="1860" w:type="dxa"/>
            <w:tcBorders>
              <w:top w:val="nil"/>
              <w:left w:val="single" w:sz="8" w:space="0" w:color="auto"/>
              <w:bottom w:val="single" w:sz="8"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4,50%</w:t>
            </w:r>
          </w:p>
        </w:tc>
        <w:tc>
          <w:tcPr>
            <w:tcW w:w="2200" w:type="dxa"/>
            <w:tcBorders>
              <w:top w:val="nil"/>
              <w:left w:val="nil"/>
              <w:bottom w:val="single" w:sz="8" w:space="0" w:color="auto"/>
              <w:right w:val="single" w:sz="8" w:space="0" w:color="auto"/>
            </w:tcBorders>
            <w:shd w:val="clear" w:color="000000" w:fill="FFFFFF"/>
            <w:hideMark/>
          </w:tcPr>
          <w:p w:rsidR="00F34828" w:rsidRPr="00971F51" w:rsidRDefault="00F34828" w:rsidP="00774887">
            <w:pPr>
              <w:jc w:val="center"/>
              <w:rPr>
                <w:rFonts w:ascii="Arial" w:hAnsi="Arial" w:cs="Arial"/>
                <w:color w:val="000000"/>
                <w:sz w:val="18"/>
                <w:szCs w:val="18"/>
                <w:lang w:eastAsia="es-CL"/>
              </w:rPr>
            </w:pPr>
            <w:r w:rsidRPr="00971F51">
              <w:rPr>
                <w:rFonts w:ascii="Arial" w:hAnsi="Arial" w:cs="Arial"/>
                <w:color w:val="000000"/>
                <w:sz w:val="18"/>
                <w:szCs w:val="18"/>
                <w:lang w:eastAsia="es-CL"/>
              </w:rPr>
              <w:t>1,93%</w:t>
            </w:r>
          </w:p>
        </w:tc>
      </w:tr>
    </w:tbl>
    <w:p w:rsidR="00F34828" w:rsidRDefault="00F34828" w:rsidP="00F34828"/>
    <w:p w:rsidR="00F34828" w:rsidRDefault="00F34828" w:rsidP="00F34828"/>
    <w:tbl>
      <w:tblPr>
        <w:tblW w:w="10093" w:type="dxa"/>
        <w:tblInd w:w="-621" w:type="dxa"/>
        <w:tblCellMar>
          <w:left w:w="70" w:type="dxa"/>
          <w:right w:w="70" w:type="dxa"/>
        </w:tblCellMar>
        <w:tblLook w:val="04A0" w:firstRow="1" w:lastRow="0" w:firstColumn="1" w:lastColumn="0" w:noHBand="0" w:noVBand="1"/>
      </w:tblPr>
      <w:tblGrid>
        <w:gridCol w:w="246"/>
        <w:gridCol w:w="591"/>
        <w:gridCol w:w="241"/>
        <w:gridCol w:w="591"/>
        <w:gridCol w:w="246"/>
        <w:gridCol w:w="501"/>
        <w:gridCol w:w="241"/>
        <w:gridCol w:w="501"/>
        <w:gridCol w:w="934"/>
        <w:gridCol w:w="859"/>
        <w:gridCol w:w="191"/>
        <w:gridCol w:w="246"/>
        <w:gridCol w:w="591"/>
        <w:gridCol w:w="241"/>
        <w:gridCol w:w="591"/>
        <w:gridCol w:w="246"/>
        <w:gridCol w:w="501"/>
        <w:gridCol w:w="241"/>
        <w:gridCol w:w="501"/>
        <w:gridCol w:w="934"/>
        <w:gridCol w:w="859"/>
      </w:tblGrid>
      <w:tr w:rsidR="00F34828" w:rsidRPr="00090249" w:rsidTr="00774887">
        <w:trPr>
          <w:trHeight w:val="240"/>
        </w:trPr>
        <w:tc>
          <w:tcPr>
            <w:tcW w:w="10093" w:type="dxa"/>
            <w:gridSpan w:val="21"/>
            <w:tcBorders>
              <w:top w:val="nil"/>
              <w:left w:val="nil"/>
              <w:bottom w:val="nil"/>
              <w:right w:val="nil"/>
            </w:tcBorders>
            <w:shd w:val="clear" w:color="000000" w:fill="FFFFFF"/>
            <w:noWrap/>
            <w:vAlign w:val="bottom"/>
            <w:hideMark/>
          </w:tcPr>
          <w:p w:rsidR="00F34828" w:rsidRDefault="00F34828" w:rsidP="00DF5047">
            <w:pPr>
              <w:jc w:val="center"/>
              <w:rPr>
                <w:rFonts w:ascii="Arial" w:hAnsi="Arial" w:cs="Arial"/>
                <w:b/>
                <w:bCs/>
                <w:sz w:val="18"/>
                <w:szCs w:val="18"/>
                <w:lang w:eastAsia="es-CL"/>
              </w:rPr>
            </w:pPr>
          </w:p>
          <w:p w:rsidR="00F34828" w:rsidRDefault="00F34828" w:rsidP="00DF5047">
            <w:pPr>
              <w:jc w:val="center"/>
              <w:rPr>
                <w:rFonts w:ascii="Arial" w:hAnsi="Arial" w:cs="Arial"/>
                <w:b/>
                <w:bCs/>
                <w:sz w:val="18"/>
                <w:szCs w:val="18"/>
                <w:lang w:eastAsia="es-CL"/>
              </w:rPr>
            </w:pPr>
          </w:p>
          <w:p w:rsidR="00F34828" w:rsidRDefault="00F34828" w:rsidP="00DF5047">
            <w:pPr>
              <w:jc w:val="center"/>
              <w:rPr>
                <w:rFonts w:ascii="Arial" w:hAnsi="Arial" w:cs="Arial"/>
                <w:b/>
                <w:bCs/>
                <w:sz w:val="18"/>
                <w:szCs w:val="18"/>
                <w:lang w:eastAsia="es-CL"/>
              </w:rPr>
            </w:pPr>
          </w:p>
          <w:p w:rsidR="00DF5047" w:rsidRDefault="00DF5047" w:rsidP="00DF5047">
            <w:pPr>
              <w:autoSpaceDE w:val="0"/>
              <w:autoSpaceDN w:val="0"/>
              <w:adjustRightInd w:val="0"/>
              <w:ind w:right="-162"/>
              <w:jc w:val="center"/>
              <w:rPr>
                <w:rFonts w:ascii="Arial" w:hAnsi="Arial" w:cs="Arial"/>
                <w:b/>
                <w:sz w:val="22"/>
                <w:szCs w:val="22"/>
              </w:rPr>
            </w:pPr>
            <w:r w:rsidRPr="00ED66AC">
              <w:rPr>
                <w:rFonts w:ascii="Arial" w:hAnsi="Arial" w:cs="Arial"/>
                <w:b/>
                <w:bCs/>
                <w:lang w:eastAsia="es-CL"/>
              </w:rPr>
              <w:t>ANEXO N°</w:t>
            </w:r>
            <w:r>
              <w:rPr>
                <w:rFonts w:ascii="Arial" w:hAnsi="Arial" w:cs="Arial"/>
                <w:b/>
                <w:bCs/>
                <w:lang w:eastAsia="es-CL"/>
              </w:rPr>
              <w:t>5</w:t>
            </w:r>
            <w:r w:rsidRPr="00ED66AC">
              <w:rPr>
                <w:rFonts w:ascii="Arial" w:hAnsi="Arial" w:cs="Arial"/>
                <w:b/>
                <w:bCs/>
                <w:lang w:eastAsia="es-CL"/>
              </w:rPr>
              <w:t xml:space="preserve"> TASA EFECTIVA LETRA </w:t>
            </w:r>
            <w:r>
              <w:rPr>
                <w:rFonts w:ascii="Arial" w:hAnsi="Arial" w:cs="Arial"/>
                <w:b/>
                <w:bCs/>
                <w:lang w:eastAsia="es-CL"/>
              </w:rPr>
              <w:t>c</w:t>
            </w:r>
            <w:r w:rsidRPr="00ED66AC">
              <w:rPr>
                <w:rFonts w:ascii="Arial" w:hAnsi="Arial" w:cs="Arial"/>
                <w:b/>
                <w:bCs/>
                <w:lang w:eastAsia="es-CL"/>
              </w:rPr>
              <w:t>) INC. 3° ART. 64 BIS.</w:t>
            </w:r>
          </w:p>
          <w:p w:rsidR="00F34828" w:rsidRPr="004C3735" w:rsidRDefault="00F34828" w:rsidP="00DF5047">
            <w:pPr>
              <w:jc w:val="center"/>
              <w:rPr>
                <w:rFonts w:ascii="Arial" w:hAnsi="Arial" w:cs="Arial"/>
                <w:b/>
                <w:bCs/>
                <w:sz w:val="22"/>
                <w:szCs w:val="22"/>
                <w:u w:val="single"/>
                <w:lang w:eastAsia="es-CL"/>
              </w:rPr>
            </w:pPr>
          </w:p>
        </w:tc>
      </w:tr>
      <w:tr w:rsidR="00F34828" w:rsidRPr="00090249" w:rsidTr="00774887">
        <w:trPr>
          <w:trHeight w:val="105"/>
        </w:trPr>
        <w:tc>
          <w:tcPr>
            <w:tcW w:w="246"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5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5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50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50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934"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859"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5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5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50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50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934"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859"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r>
      <w:tr w:rsidR="00F34828" w:rsidRPr="00090249" w:rsidTr="00774887">
        <w:trPr>
          <w:trHeight w:val="1230"/>
        </w:trPr>
        <w:tc>
          <w:tcPr>
            <w:tcW w:w="4951"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F34828" w:rsidRPr="00090249" w:rsidRDefault="00DE657E" w:rsidP="00CC15AA">
            <w:pPr>
              <w:jc w:val="both"/>
              <w:rPr>
                <w:rFonts w:ascii="Arial" w:hAnsi="Arial" w:cs="Arial"/>
                <w:sz w:val="18"/>
                <w:szCs w:val="18"/>
                <w:lang w:eastAsia="es-CL"/>
              </w:rPr>
            </w:pPr>
            <w:r>
              <w:rPr>
                <w:rFonts w:ascii="Arial" w:hAnsi="Arial" w:cs="Arial"/>
                <w:sz w:val="18"/>
                <w:szCs w:val="18"/>
                <w:lang w:eastAsia="es-CL"/>
              </w:rPr>
              <w:t xml:space="preserve">A los </w:t>
            </w:r>
            <w:r w:rsidR="00F34828" w:rsidRPr="00090249">
              <w:rPr>
                <w:rFonts w:ascii="Arial" w:hAnsi="Arial" w:cs="Arial"/>
                <w:sz w:val="18"/>
                <w:szCs w:val="18"/>
                <w:lang w:eastAsia="es-CL"/>
              </w:rPr>
              <w:t>E</w:t>
            </w:r>
            <w:r>
              <w:rPr>
                <w:rFonts w:ascii="Arial" w:hAnsi="Arial" w:cs="Arial"/>
                <w:sz w:val="18"/>
                <w:szCs w:val="18"/>
                <w:lang w:eastAsia="es-CL"/>
              </w:rPr>
              <w:t>M</w:t>
            </w:r>
            <w:r w:rsidR="00F34828" w:rsidRPr="00090249">
              <w:rPr>
                <w:rFonts w:ascii="Arial" w:hAnsi="Arial" w:cs="Arial"/>
                <w:sz w:val="18"/>
                <w:szCs w:val="18"/>
                <w:lang w:eastAsia="es-CL"/>
              </w:rPr>
              <w:t xml:space="preserve"> cuyas ventas anuales determinadas conforme a la letra d) del </w:t>
            </w:r>
            <w:r>
              <w:rPr>
                <w:rFonts w:ascii="Arial" w:hAnsi="Arial" w:cs="Arial"/>
                <w:sz w:val="18"/>
                <w:szCs w:val="18"/>
                <w:lang w:eastAsia="es-CL"/>
              </w:rPr>
              <w:t>inciso 3°</w:t>
            </w:r>
            <w:r w:rsidR="00F34828" w:rsidRPr="00090249">
              <w:rPr>
                <w:rFonts w:ascii="Arial" w:hAnsi="Arial" w:cs="Arial"/>
                <w:sz w:val="18"/>
                <w:szCs w:val="18"/>
                <w:lang w:eastAsia="es-CL"/>
              </w:rPr>
              <w:t xml:space="preserve"> del Art. 64 bis de la LIR, excedan al valor equivalente a 50.000 </w:t>
            </w:r>
            <w:r>
              <w:rPr>
                <w:rFonts w:ascii="Arial" w:hAnsi="Arial" w:cs="Arial"/>
                <w:sz w:val="18"/>
                <w:szCs w:val="18"/>
                <w:lang w:eastAsia="es-CL"/>
              </w:rPr>
              <w:t>TMCF,</w:t>
            </w:r>
            <w:r w:rsidR="00F34828" w:rsidRPr="00090249">
              <w:rPr>
                <w:rFonts w:ascii="Arial" w:hAnsi="Arial" w:cs="Arial"/>
                <w:sz w:val="18"/>
                <w:szCs w:val="18"/>
                <w:lang w:eastAsia="es-CL"/>
              </w:rPr>
              <w:t xml:space="preserve"> se les aplicará una tasa correspondiente al MOM, de acuerdo a las siguientes tablas: </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4951"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F34828" w:rsidRPr="00090249" w:rsidRDefault="00CC15AA" w:rsidP="00774887">
            <w:pPr>
              <w:jc w:val="both"/>
              <w:rPr>
                <w:rFonts w:ascii="Arial" w:hAnsi="Arial" w:cs="Arial"/>
                <w:sz w:val="18"/>
                <w:szCs w:val="18"/>
                <w:lang w:eastAsia="es-CL"/>
              </w:rPr>
            </w:pPr>
            <w:r>
              <w:rPr>
                <w:rFonts w:ascii="Arial" w:hAnsi="Arial" w:cs="Arial"/>
                <w:sz w:val="18"/>
                <w:szCs w:val="18"/>
                <w:lang w:eastAsia="es-CL"/>
              </w:rPr>
              <w:t xml:space="preserve">A los </w:t>
            </w:r>
            <w:r w:rsidRPr="00090249">
              <w:rPr>
                <w:rFonts w:ascii="Arial" w:hAnsi="Arial" w:cs="Arial"/>
                <w:sz w:val="18"/>
                <w:szCs w:val="18"/>
                <w:lang w:eastAsia="es-CL"/>
              </w:rPr>
              <w:t>E</w:t>
            </w:r>
            <w:r>
              <w:rPr>
                <w:rFonts w:ascii="Arial" w:hAnsi="Arial" w:cs="Arial"/>
                <w:sz w:val="18"/>
                <w:szCs w:val="18"/>
                <w:lang w:eastAsia="es-CL"/>
              </w:rPr>
              <w:t>M</w:t>
            </w:r>
            <w:r w:rsidRPr="00090249">
              <w:rPr>
                <w:rFonts w:ascii="Arial" w:hAnsi="Arial" w:cs="Arial"/>
                <w:sz w:val="18"/>
                <w:szCs w:val="18"/>
                <w:lang w:eastAsia="es-CL"/>
              </w:rPr>
              <w:t xml:space="preserve"> cuyas ventas anuales determinadas conforme a la letra d) del </w:t>
            </w:r>
            <w:r>
              <w:rPr>
                <w:rFonts w:ascii="Arial" w:hAnsi="Arial" w:cs="Arial"/>
                <w:sz w:val="18"/>
                <w:szCs w:val="18"/>
                <w:lang w:eastAsia="es-CL"/>
              </w:rPr>
              <w:t>inciso 3°</w:t>
            </w:r>
            <w:r w:rsidRPr="00090249">
              <w:rPr>
                <w:rFonts w:ascii="Arial" w:hAnsi="Arial" w:cs="Arial"/>
                <w:sz w:val="18"/>
                <w:szCs w:val="18"/>
                <w:lang w:eastAsia="es-CL"/>
              </w:rPr>
              <w:t xml:space="preserve"> del Art. 64 bis de la LIR, excedan al valor equivalente a 50.000 </w:t>
            </w:r>
            <w:r>
              <w:rPr>
                <w:rFonts w:ascii="Arial" w:hAnsi="Arial" w:cs="Arial"/>
                <w:sz w:val="18"/>
                <w:szCs w:val="18"/>
                <w:lang w:eastAsia="es-CL"/>
              </w:rPr>
              <w:t>TMCF,</w:t>
            </w:r>
            <w:r w:rsidRPr="00090249">
              <w:rPr>
                <w:rFonts w:ascii="Arial" w:hAnsi="Arial" w:cs="Arial"/>
                <w:sz w:val="18"/>
                <w:szCs w:val="18"/>
                <w:lang w:eastAsia="es-CL"/>
              </w:rPr>
              <w:t xml:space="preserve"> se les aplicará una tasa correspondiente al MOM, de acuerdo a las siguientes tablas:</w:t>
            </w:r>
          </w:p>
        </w:tc>
      </w:tr>
      <w:tr w:rsidR="00F34828" w:rsidRPr="00090249" w:rsidTr="00774887">
        <w:trPr>
          <w:trHeight w:val="821"/>
        </w:trPr>
        <w:tc>
          <w:tcPr>
            <w:tcW w:w="1669" w:type="dxa"/>
            <w:gridSpan w:val="4"/>
            <w:tcBorders>
              <w:top w:val="single" w:sz="8" w:space="0" w:color="auto"/>
              <w:left w:val="single" w:sz="8" w:space="0" w:color="auto"/>
              <w:bottom w:val="nil"/>
              <w:right w:val="single" w:sz="8" w:space="0" w:color="000000"/>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1: Margen operacional minero (antes de rebajar IEAM)</w:t>
            </w:r>
          </w:p>
        </w:tc>
        <w:tc>
          <w:tcPr>
            <w:tcW w:w="1489" w:type="dxa"/>
            <w:gridSpan w:val="4"/>
            <w:tcBorders>
              <w:top w:val="single" w:sz="8" w:space="0" w:color="auto"/>
              <w:left w:val="nil"/>
              <w:bottom w:val="nil"/>
              <w:right w:val="single" w:sz="8" w:space="0" w:color="000000"/>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2: Margen operacional minero</w:t>
            </w:r>
          </w:p>
        </w:tc>
        <w:tc>
          <w:tcPr>
            <w:tcW w:w="934"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3: Tasa  Marginal</w:t>
            </w:r>
          </w:p>
        </w:tc>
        <w:tc>
          <w:tcPr>
            <w:tcW w:w="859"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4: Tasa efectiva</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1669" w:type="dxa"/>
            <w:gridSpan w:val="4"/>
            <w:tcBorders>
              <w:top w:val="single" w:sz="8" w:space="0" w:color="auto"/>
              <w:left w:val="single" w:sz="8" w:space="0" w:color="auto"/>
              <w:bottom w:val="nil"/>
              <w:right w:val="single" w:sz="8" w:space="0" w:color="000000"/>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1: Margen operacional minero (antes de rebajar IEAM)</w:t>
            </w:r>
          </w:p>
        </w:tc>
        <w:tc>
          <w:tcPr>
            <w:tcW w:w="1489" w:type="dxa"/>
            <w:gridSpan w:val="4"/>
            <w:tcBorders>
              <w:top w:val="single" w:sz="8" w:space="0" w:color="auto"/>
              <w:left w:val="nil"/>
              <w:bottom w:val="nil"/>
              <w:right w:val="single" w:sz="8" w:space="0" w:color="000000"/>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2: Margen operacional minero</w:t>
            </w:r>
          </w:p>
        </w:tc>
        <w:tc>
          <w:tcPr>
            <w:tcW w:w="934"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3: Tasa  Marginal</w:t>
            </w:r>
          </w:p>
        </w:tc>
        <w:tc>
          <w:tcPr>
            <w:tcW w:w="859"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4: Tasa efectiva</w:t>
            </w:r>
          </w:p>
        </w:tc>
      </w:tr>
      <w:tr w:rsidR="00F34828" w:rsidRPr="00090249" w:rsidTr="00774887">
        <w:trPr>
          <w:trHeight w:val="255"/>
        </w:trPr>
        <w:tc>
          <w:tcPr>
            <w:tcW w:w="246" w:type="dxa"/>
            <w:tcBorders>
              <w:top w:val="single" w:sz="8" w:space="0" w:color="auto"/>
              <w:left w:val="single" w:sz="8" w:space="0" w:color="auto"/>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591"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0,00</w:t>
            </w:r>
          </w:p>
        </w:tc>
        <w:tc>
          <w:tcPr>
            <w:tcW w:w="241" w:type="dxa"/>
            <w:tcBorders>
              <w:top w:val="single" w:sz="8" w:space="0" w:color="auto"/>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single" w:sz="8" w:space="0" w:color="auto"/>
              <w:left w:val="nil"/>
              <w:bottom w:val="single" w:sz="8"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36,75</w:t>
            </w:r>
          </w:p>
        </w:tc>
        <w:tc>
          <w:tcPr>
            <w:tcW w:w="246" w:type="dxa"/>
            <w:tcBorders>
              <w:top w:val="single" w:sz="8" w:space="0" w:color="auto"/>
              <w:left w:val="nil"/>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501" w:type="dxa"/>
            <w:tcBorders>
              <w:top w:val="single" w:sz="8" w:space="0" w:color="auto"/>
              <w:left w:val="single" w:sz="4" w:space="0" w:color="auto"/>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0,0</w:t>
            </w:r>
          </w:p>
        </w:tc>
        <w:tc>
          <w:tcPr>
            <w:tcW w:w="241" w:type="dxa"/>
            <w:tcBorders>
              <w:top w:val="single" w:sz="8" w:space="0" w:color="auto"/>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single" w:sz="8" w:space="0" w:color="auto"/>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35,0</w:t>
            </w:r>
          </w:p>
        </w:tc>
        <w:tc>
          <w:tcPr>
            <w:tcW w:w="934" w:type="dxa"/>
            <w:tcBorders>
              <w:top w:val="single" w:sz="8" w:space="0" w:color="auto"/>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5,00%</w:t>
            </w:r>
          </w:p>
        </w:tc>
        <w:tc>
          <w:tcPr>
            <w:tcW w:w="859" w:type="dxa"/>
            <w:tcBorders>
              <w:top w:val="single" w:sz="8" w:space="0" w:color="auto"/>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5,00%</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single" w:sz="4" w:space="0" w:color="auto"/>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40,96</w:t>
            </w:r>
          </w:p>
        </w:tc>
        <w:tc>
          <w:tcPr>
            <w:tcW w:w="241" w:type="dxa"/>
            <w:tcBorders>
              <w:top w:val="single" w:sz="4"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single" w:sz="4" w:space="0" w:color="auto"/>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41,07</w:t>
            </w:r>
          </w:p>
        </w:tc>
        <w:tc>
          <w:tcPr>
            <w:tcW w:w="246" w:type="dxa"/>
            <w:tcBorders>
              <w:top w:val="single" w:sz="4" w:space="0" w:color="auto"/>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single" w:sz="4" w:space="0" w:color="auto"/>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38,9</w:t>
            </w:r>
          </w:p>
        </w:tc>
        <w:tc>
          <w:tcPr>
            <w:tcW w:w="241" w:type="dxa"/>
            <w:tcBorders>
              <w:top w:val="single" w:sz="4"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39,0</w:t>
            </w:r>
          </w:p>
        </w:tc>
        <w:tc>
          <w:tcPr>
            <w:tcW w:w="934"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5,31%</w:t>
            </w:r>
          </w:p>
        </w:tc>
      </w:tr>
      <w:tr w:rsidR="00F34828" w:rsidRPr="00090249" w:rsidTr="00774887">
        <w:trPr>
          <w:trHeight w:val="240"/>
        </w:trPr>
        <w:tc>
          <w:tcPr>
            <w:tcW w:w="246" w:type="dxa"/>
            <w:tcBorders>
              <w:top w:val="nil"/>
              <w:left w:val="single" w:sz="8" w:space="0" w:color="auto"/>
              <w:bottom w:val="nil"/>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nil"/>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36,75</w:t>
            </w:r>
          </w:p>
        </w:tc>
        <w:tc>
          <w:tcPr>
            <w:tcW w:w="241" w:type="dxa"/>
            <w:tcBorders>
              <w:top w:val="nil"/>
              <w:left w:val="nil"/>
              <w:bottom w:val="nil"/>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nil"/>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36,86</w:t>
            </w:r>
          </w:p>
        </w:tc>
        <w:tc>
          <w:tcPr>
            <w:tcW w:w="246" w:type="dxa"/>
            <w:tcBorders>
              <w:top w:val="nil"/>
              <w:left w:val="nil"/>
              <w:bottom w:val="nil"/>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nil"/>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35,0</w:t>
            </w:r>
          </w:p>
        </w:tc>
        <w:tc>
          <w:tcPr>
            <w:tcW w:w="241" w:type="dxa"/>
            <w:tcBorders>
              <w:top w:val="nil"/>
              <w:left w:val="nil"/>
              <w:bottom w:val="nil"/>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nil"/>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35,1</w:t>
            </w:r>
          </w:p>
        </w:tc>
        <w:tc>
          <w:tcPr>
            <w:tcW w:w="934" w:type="dxa"/>
            <w:tcBorders>
              <w:top w:val="nil"/>
              <w:left w:val="nil"/>
              <w:bottom w:val="nil"/>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nil"/>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5,01%</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41,07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41,18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39,1</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5,31%</w:t>
            </w:r>
          </w:p>
        </w:tc>
      </w:tr>
      <w:tr w:rsidR="00F34828" w:rsidRPr="00090249" w:rsidTr="00774887">
        <w:trPr>
          <w:trHeight w:val="240"/>
        </w:trPr>
        <w:tc>
          <w:tcPr>
            <w:tcW w:w="246" w:type="dxa"/>
            <w:tcBorders>
              <w:top w:val="single" w:sz="4" w:space="0" w:color="auto"/>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36,86</w:t>
            </w:r>
          </w:p>
        </w:tc>
        <w:tc>
          <w:tcPr>
            <w:tcW w:w="241" w:type="dxa"/>
            <w:tcBorders>
              <w:top w:val="single" w:sz="4"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single" w:sz="4" w:space="0" w:color="auto"/>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36,97</w:t>
            </w:r>
          </w:p>
        </w:tc>
        <w:tc>
          <w:tcPr>
            <w:tcW w:w="246" w:type="dxa"/>
            <w:tcBorders>
              <w:top w:val="single" w:sz="4" w:space="0" w:color="auto"/>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single" w:sz="4" w:space="0" w:color="auto"/>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35,1</w:t>
            </w:r>
          </w:p>
        </w:tc>
        <w:tc>
          <w:tcPr>
            <w:tcW w:w="241" w:type="dxa"/>
            <w:tcBorders>
              <w:top w:val="single" w:sz="4"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35,2</w:t>
            </w:r>
          </w:p>
        </w:tc>
        <w:tc>
          <w:tcPr>
            <w:tcW w:w="934"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5,02%</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41,18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41,29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39,2</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5,32%</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36,97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37,07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35,2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35,3</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5,03%</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41,29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41,39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39,3</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5,33%</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37,07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37,18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35,3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35,4</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5,03%</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41,39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41,50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39,4</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5,34%</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37,18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37,29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35,4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35,5</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5,04%</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41,50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41,61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39,5</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5,34%</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37,29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37,40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35,5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35,6</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5,05%</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41,61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41,72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39,6</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37,40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37,51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35,6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35,7</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5,06%</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41,72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41,83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39,7</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5,36%</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37,51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37,61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35,7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35,8</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5,07%</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41,83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41,93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39,8</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5,36%</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37,61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37,72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35,8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35,9</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5,08%</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41,93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42,04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39,9</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37,72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37,83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35,9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36,0</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5,08%</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42,04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42,15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40,0</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5,38%</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37,83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37,94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36,1</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5,09%</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42,15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42,26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40,1</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5,39%</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37,94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38,05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36,2</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5,10%</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42,26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42,37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40,2</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5,40%</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38,05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38,15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36,3</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5,11%</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42,37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42,48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40,3</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5,41%</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38,15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38,26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36,4</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5,12%</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42,48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42,59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40,4</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5,43%</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38,26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38,37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36,5</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5,12%</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42,59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42,70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40,5</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5,44%</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38,37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38,48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36,6</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5,13%</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42,70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42,81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40,6</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38,48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38,59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36,7</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5,14%</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42,81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42,92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40,7</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5,46%</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38,59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38,69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36,8</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5,15%</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42,92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43,03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40,8</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5,48%</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38,69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38,80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36,9</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5,15%</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43,03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43,14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40,9</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5,49%</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38,80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38,91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36,9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37,0</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5,16%</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43,14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43,26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41,0</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5,50%</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38,91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39,02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37,1</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5,17%</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43,26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43,37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41,1</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5,51%</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39,02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39,13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37,2</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5,18%</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43,37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43,48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41,2</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5,52%</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39,13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39,23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37,3</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5,18%</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43,48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43,59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41,3</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5,54%</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39,23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39,34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37,4</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5,19%</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43,59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43,70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41,4</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39,34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39,45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37,5</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5,20%</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43,70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43,81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41,5</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5,56%</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39,45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39,56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37,6</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5,21%</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43,81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43,92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41,6</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39,56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39,67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37,7</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5,21%</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43,92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44,03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41,7</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5,58%</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39,67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39,77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37,8</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5,22%</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44,03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44,14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41,8</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5,60%</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39,77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39,88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37,9</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5,23%</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44,14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44,25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41,9</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5,61%</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39,88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39,99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37,9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38,0</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5,24%</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44,25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44,36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41,9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42,0</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5,62%</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39,99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40,10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38,1</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5,24%</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44,36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44,47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42,1</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5,63%</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40,10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40,21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38,2</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5,25%</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44,47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44,58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42,2</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5,64%</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40,21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40,31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38,3</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5,26%</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44,58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44,69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42,3</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40,31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40,42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38,4</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5,27%</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44,69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44,80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42,4</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40,42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40,53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38,5</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5,27%</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44,80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44,91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42,5</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5,68%</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40,53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40,64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38,6</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5,28%</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44,91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45,02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42,6</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5,69%</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40,64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40,75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38,7</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5,29%</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45,02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45,13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42,7</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5,70%</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40,75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40,85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38,8</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5,29%</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45,13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45,24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42,8</w:t>
            </w:r>
          </w:p>
        </w:tc>
        <w:tc>
          <w:tcPr>
            <w:tcW w:w="934"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5,71%</w:t>
            </w:r>
          </w:p>
        </w:tc>
      </w:tr>
      <w:tr w:rsidR="00F34828" w:rsidRPr="00090249" w:rsidTr="00774887">
        <w:trPr>
          <w:trHeight w:val="255"/>
        </w:trPr>
        <w:tc>
          <w:tcPr>
            <w:tcW w:w="246" w:type="dxa"/>
            <w:tcBorders>
              <w:top w:val="nil"/>
              <w:left w:val="single" w:sz="8" w:space="0" w:color="auto"/>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8"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40,85</w:t>
            </w:r>
          </w:p>
        </w:tc>
        <w:tc>
          <w:tcPr>
            <w:tcW w:w="241"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8"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40,96</w:t>
            </w:r>
          </w:p>
        </w:tc>
        <w:tc>
          <w:tcPr>
            <w:tcW w:w="246" w:type="dxa"/>
            <w:tcBorders>
              <w:top w:val="nil"/>
              <w:left w:val="nil"/>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38,8</w:t>
            </w:r>
          </w:p>
        </w:tc>
        <w:tc>
          <w:tcPr>
            <w:tcW w:w="241"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38,9</w:t>
            </w:r>
          </w:p>
        </w:tc>
        <w:tc>
          <w:tcPr>
            <w:tcW w:w="934"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59"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5,30%</w:t>
            </w:r>
          </w:p>
        </w:tc>
        <w:tc>
          <w:tcPr>
            <w:tcW w:w="191"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8"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45,24</w:t>
            </w:r>
          </w:p>
        </w:tc>
        <w:tc>
          <w:tcPr>
            <w:tcW w:w="241"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8"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45,35</w:t>
            </w:r>
          </w:p>
        </w:tc>
        <w:tc>
          <w:tcPr>
            <w:tcW w:w="246" w:type="dxa"/>
            <w:tcBorders>
              <w:top w:val="nil"/>
              <w:left w:val="nil"/>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01" w:type="dxa"/>
            <w:tcBorders>
              <w:top w:val="nil"/>
              <w:left w:val="single" w:sz="4" w:space="0" w:color="auto"/>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42,8</w:t>
            </w:r>
          </w:p>
        </w:tc>
        <w:tc>
          <w:tcPr>
            <w:tcW w:w="241"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0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42,9</w:t>
            </w:r>
          </w:p>
        </w:tc>
        <w:tc>
          <w:tcPr>
            <w:tcW w:w="934"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59"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5,72%</w:t>
            </w:r>
          </w:p>
        </w:tc>
      </w:tr>
    </w:tbl>
    <w:p w:rsidR="00F34828" w:rsidRDefault="00F34828" w:rsidP="00F34828"/>
    <w:tbl>
      <w:tblPr>
        <w:tblW w:w="9880" w:type="dxa"/>
        <w:tblInd w:w="-515" w:type="dxa"/>
        <w:tblCellMar>
          <w:left w:w="70" w:type="dxa"/>
          <w:right w:w="70" w:type="dxa"/>
        </w:tblCellMar>
        <w:tblLook w:val="04A0" w:firstRow="1" w:lastRow="0" w:firstColumn="1" w:lastColumn="0" w:noHBand="0" w:noVBand="1"/>
      </w:tblPr>
      <w:tblGrid>
        <w:gridCol w:w="246"/>
        <w:gridCol w:w="591"/>
        <w:gridCol w:w="241"/>
        <w:gridCol w:w="591"/>
        <w:gridCol w:w="246"/>
        <w:gridCol w:w="491"/>
        <w:gridCol w:w="241"/>
        <w:gridCol w:w="491"/>
        <w:gridCol w:w="881"/>
        <w:gridCol w:w="811"/>
        <w:gridCol w:w="220"/>
        <w:gridCol w:w="246"/>
        <w:gridCol w:w="591"/>
        <w:gridCol w:w="241"/>
        <w:gridCol w:w="591"/>
        <w:gridCol w:w="246"/>
        <w:gridCol w:w="491"/>
        <w:gridCol w:w="241"/>
        <w:gridCol w:w="491"/>
        <w:gridCol w:w="881"/>
        <w:gridCol w:w="811"/>
      </w:tblGrid>
      <w:tr w:rsidR="00F34828" w:rsidRPr="00090249" w:rsidTr="00774887">
        <w:trPr>
          <w:trHeight w:val="1251"/>
        </w:trPr>
        <w:tc>
          <w:tcPr>
            <w:tcW w:w="4830"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F34828" w:rsidRPr="00090249" w:rsidRDefault="00CC15AA" w:rsidP="00774887">
            <w:pPr>
              <w:jc w:val="both"/>
              <w:rPr>
                <w:rFonts w:ascii="Arial" w:hAnsi="Arial" w:cs="Arial"/>
                <w:sz w:val="18"/>
                <w:szCs w:val="18"/>
                <w:lang w:eastAsia="es-CL"/>
              </w:rPr>
            </w:pPr>
            <w:r>
              <w:rPr>
                <w:rFonts w:ascii="Arial" w:hAnsi="Arial" w:cs="Arial"/>
                <w:sz w:val="18"/>
                <w:szCs w:val="18"/>
                <w:lang w:eastAsia="es-CL"/>
              </w:rPr>
              <w:t xml:space="preserve">A los </w:t>
            </w:r>
            <w:r w:rsidRPr="00090249">
              <w:rPr>
                <w:rFonts w:ascii="Arial" w:hAnsi="Arial" w:cs="Arial"/>
                <w:sz w:val="18"/>
                <w:szCs w:val="18"/>
                <w:lang w:eastAsia="es-CL"/>
              </w:rPr>
              <w:t>E</w:t>
            </w:r>
            <w:r>
              <w:rPr>
                <w:rFonts w:ascii="Arial" w:hAnsi="Arial" w:cs="Arial"/>
                <w:sz w:val="18"/>
                <w:szCs w:val="18"/>
                <w:lang w:eastAsia="es-CL"/>
              </w:rPr>
              <w:t>M</w:t>
            </w:r>
            <w:r w:rsidRPr="00090249">
              <w:rPr>
                <w:rFonts w:ascii="Arial" w:hAnsi="Arial" w:cs="Arial"/>
                <w:sz w:val="18"/>
                <w:szCs w:val="18"/>
                <w:lang w:eastAsia="es-CL"/>
              </w:rPr>
              <w:t xml:space="preserve"> cuyas ventas anuales determinadas conforme a la letra d) del </w:t>
            </w:r>
            <w:r>
              <w:rPr>
                <w:rFonts w:ascii="Arial" w:hAnsi="Arial" w:cs="Arial"/>
                <w:sz w:val="18"/>
                <w:szCs w:val="18"/>
                <w:lang w:eastAsia="es-CL"/>
              </w:rPr>
              <w:t>inciso 3°</w:t>
            </w:r>
            <w:r w:rsidRPr="00090249">
              <w:rPr>
                <w:rFonts w:ascii="Arial" w:hAnsi="Arial" w:cs="Arial"/>
                <w:sz w:val="18"/>
                <w:szCs w:val="18"/>
                <w:lang w:eastAsia="es-CL"/>
              </w:rPr>
              <w:t xml:space="preserve"> del Art. 64 bis de la LIR, excedan al valor equivalente a 50.000 </w:t>
            </w:r>
            <w:r>
              <w:rPr>
                <w:rFonts w:ascii="Arial" w:hAnsi="Arial" w:cs="Arial"/>
                <w:sz w:val="18"/>
                <w:szCs w:val="18"/>
                <w:lang w:eastAsia="es-CL"/>
              </w:rPr>
              <w:t>TMCF,</w:t>
            </w:r>
            <w:r w:rsidRPr="00090249">
              <w:rPr>
                <w:rFonts w:ascii="Arial" w:hAnsi="Arial" w:cs="Arial"/>
                <w:sz w:val="18"/>
                <w:szCs w:val="18"/>
                <w:lang w:eastAsia="es-CL"/>
              </w:rPr>
              <w:t xml:space="preserve"> se les aplicará una tasa correspondiente al MOM, de acuerdo a las siguientes tablas:</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4830"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F34828" w:rsidRPr="00090249" w:rsidRDefault="00CC15AA" w:rsidP="00774887">
            <w:pPr>
              <w:jc w:val="both"/>
              <w:rPr>
                <w:rFonts w:ascii="Arial" w:hAnsi="Arial" w:cs="Arial"/>
                <w:sz w:val="18"/>
                <w:szCs w:val="18"/>
                <w:lang w:eastAsia="es-CL"/>
              </w:rPr>
            </w:pPr>
            <w:r>
              <w:rPr>
                <w:rFonts w:ascii="Arial" w:hAnsi="Arial" w:cs="Arial"/>
                <w:sz w:val="18"/>
                <w:szCs w:val="18"/>
                <w:lang w:eastAsia="es-CL"/>
              </w:rPr>
              <w:t xml:space="preserve">A los </w:t>
            </w:r>
            <w:r w:rsidRPr="00090249">
              <w:rPr>
                <w:rFonts w:ascii="Arial" w:hAnsi="Arial" w:cs="Arial"/>
                <w:sz w:val="18"/>
                <w:szCs w:val="18"/>
                <w:lang w:eastAsia="es-CL"/>
              </w:rPr>
              <w:t>E</w:t>
            </w:r>
            <w:r>
              <w:rPr>
                <w:rFonts w:ascii="Arial" w:hAnsi="Arial" w:cs="Arial"/>
                <w:sz w:val="18"/>
                <w:szCs w:val="18"/>
                <w:lang w:eastAsia="es-CL"/>
              </w:rPr>
              <w:t>M</w:t>
            </w:r>
            <w:r w:rsidRPr="00090249">
              <w:rPr>
                <w:rFonts w:ascii="Arial" w:hAnsi="Arial" w:cs="Arial"/>
                <w:sz w:val="18"/>
                <w:szCs w:val="18"/>
                <w:lang w:eastAsia="es-CL"/>
              </w:rPr>
              <w:t xml:space="preserve"> cuyas ventas anuales determinadas conforme a la letra d) del </w:t>
            </w:r>
            <w:r>
              <w:rPr>
                <w:rFonts w:ascii="Arial" w:hAnsi="Arial" w:cs="Arial"/>
                <w:sz w:val="18"/>
                <w:szCs w:val="18"/>
                <w:lang w:eastAsia="es-CL"/>
              </w:rPr>
              <w:t>inciso 3°</w:t>
            </w:r>
            <w:r w:rsidRPr="00090249">
              <w:rPr>
                <w:rFonts w:ascii="Arial" w:hAnsi="Arial" w:cs="Arial"/>
                <w:sz w:val="18"/>
                <w:szCs w:val="18"/>
                <w:lang w:eastAsia="es-CL"/>
              </w:rPr>
              <w:t xml:space="preserve"> del Art. 64 bis de la LIR, excedan al valor equivalente a 50.000 </w:t>
            </w:r>
            <w:r>
              <w:rPr>
                <w:rFonts w:ascii="Arial" w:hAnsi="Arial" w:cs="Arial"/>
                <w:sz w:val="18"/>
                <w:szCs w:val="18"/>
                <w:lang w:eastAsia="es-CL"/>
              </w:rPr>
              <w:t>TMCF,</w:t>
            </w:r>
            <w:r w:rsidRPr="00090249">
              <w:rPr>
                <w:rFonts w:ascii="Arial" w:hAnsi="Arial" w:cs="Arial"/>
                <w:sz w:val="18"/>
                <w:szCs w:val="18"/>
                <w:lang w:eastAsia="es-CL"/>
              </w:rPr>
              <w:t xml:space="preserve"> se les aplicará una tasa correspondiente al MOM, de acuerdo a las siguientes tablas:</w:t>
            </w:r>
          </w:p>
        </w:tc>
      </w:tr>
      <w:tr w:rsidR="00F34828" w:rsidRPr="00090249" w:rsidTr="00774887">
        <w:trPr>
          <w:trHeight w:val="990"/>
        </w:trPr>
        <w:tc>
          <w:tcPr>
            <w:tcW w:w="1669" w:type="dxa"/>
            <w:gridSpan w:val="4"/>
            <w:tcBorders>
              <w:top w:val="single" w:sz="8" w:space="0" w:color="auto"/>
              <w:left w:val="single" w:sz="8" w:space="0" w:color="auto"/>
              <w:bottom w:val="nil"/>
              <w:right w:val="single" w:sz="8" w:space="0" w:color="000000"/>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1: Margen operacional minero (antes de rebajar IEAM)</w:t>
            </w:r>
          </w:p>
        </w:tc>
        <w:tc>
          <w:tcPr>
            <w:tcW w:w="1469" w:type="dxa"/>
            <w:gridSpan w:val="4"/>
            <w:tcBorders>
              <w:top w:val="single" w:sz="8" w:space="0" w:color="auto"/>
              <w:left w:val="nil"/>
              <w:bottom w:val="nil"/>
              <w:right w:val="single" w:sz="8" w:space="0" w:color="000000"/>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2: Margen operacional minero</w:t>
            </w:r>
          </w:p>
        </w:tc>
        <w:tc>
          <w:tcPr>
            <w:tcW w:w="881"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3: Tasa  Marginal</w:t>
            </w:r>
          </w:p>
        </w:tc>
        <w:tc>
          <w:tcPr>
            <w:tcW w:w="811"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4: Tasa efectiva</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1669" w:type="dxa"/>
            <w:gridSpan w:val="4"/>
            <w:tcBorders>
              <w:top w:val="single" w:sz="8" w:space="0" w:color="auto"/>
              <w:left w:val="single" w:sz="8" w:space="0" w:color="auto"/>
              <w:bottom w:val="nil"/>
              <w:right w:val="single" w:sz="8" w:space="0" w:color="000000"/>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1: Margen operacional minero (antes de rebajar IEAM)</w:t>
            </w:r>
          </w:p>
        </w:tc>
        <w:tc>
          <w:tcPr>
            <w:tcW w:w="1469" w:type="dxa"/>
            <w:gridSpan w:val="4"/>
            <w:tcBorders>
              <w:top w:val="single" w:sz="8" w:space="0" w:color="auto"/>
              <w:left w:val="nil"/>
              <w:bottom w:val="nil"/>
              <w:right w:val="single" w:sz="8" w:space="0" w:color="000000"/>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2: Margen operacional minero</w:t>
            </w:r>
          </w:p>
        </w:tc>
        <w:tc>
          <w:tcPr>
            <w:tcW w:w="881"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3: Tasa  Marginal</w:t>
            </w:r>
          </w:p>
        </w:tc>
        <w:tc>
          <w:tcPr>
            <w:tcW w:w="811"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4: Tasa efectiva</w:t>
            </w:r>
          </w:p>
        </w:tc>
      </w:tr>
      <w:tr w:rsidR="00F34828" w:rsidRPr="00090249" w:rsidTr="00774887">
        <w:trPr>
          <w:trHeight w:val="240"/>
        </w:trPr>
        <w:tc>
          <w:tcPr>
            <w:tcW w:w="246" w:type="dxa"/>
            <w:tcBorders>
              <w:top w:val="single" w:sz="8" w:space="0" w:color="auto"/>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45,35</w:t>
            </w:r>
          </w:p>
        </w:tc>
        <w:tc>
          <w:tcPr>
            <w:tcW w:w="241" w:type="dxa"/>
            <w:tcBorders>
              <w:top w:val="single" w:sz="8"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single" w:sz="8" w:space="0" w:color="auto"/>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45,47</w:t>
            </w:r>
          </w:p>
        </w:tc>
        <w:tc>
          <w:tcPr>
            <w:tcW w:w="246" w:type="dxa"/>
            <w:tcBorders>
              <w:top w:val="single" w:sz="8" w:space="0" w:color="auto"/>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single" w:sz="8" w:space="0" w:color="auto"/>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42,9</w:t>
            </w:r>
          </w:p>
        </w:tc>
        <w:tc>
          <w:tcPr>
            <w:tcW w:w="241" w:type="dxa"/>
            <w:tcBorders>
              <w:top w:val="single" w:sz="8"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single" w:sz="8"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43,0</w:t>
            </w:r>
          </w:p>
        </w:tc>
        <w:tc>
          <w:tcPr>
            <w:tcW w:w="881" w:type="dxa"/>
            <w:tcBorders>
              <w:top w:val="single" w:sz="8"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11" w:type="dxa"/>
            <w:tcBorders>
              <w:top w:val="single" w:sz="8"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5,73%</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single" w:sz="4" w:space="0" w:color="auto"/>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49,82</w:t>
            </w:r>
          </w:p>
        </w:tc>
        <w:tc>
          <w:tcPr>
            <w:tcW w:w="241" w:type="dxa"/>
            <w:tcBorders>
              <w:top w:val="single" w:sz="4"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single" w:sz="4" w:space="0" w:color="auto"/>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49,94</w:t>
            </w:r>
          </w:p>
        </w:tc>
        <w:tc>
          <w:tcPr>
            <w:tcW w:w="246" w:type="dxa"/>
            <w:tcBorders>
              <w:top w:val="single" w:sz="4" w:space="0" w:color="auto"/>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single" w:sz="4" w:space="0" w:color="auto"/>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46,9</w:t>
            </w:r>
          </w:p>
        </w:tc>
        <w:tc>
          <w:tcPr>
            <w:tcW w:w="241" w:type="dxa"/>
            <w:tcBorders>
              <w:top w:val="single" w:sz="4"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47,0</w:t>
            </w:r>
          </w:p>
        </w:tc>
        <w:tc>
          <w:tcPr>
            <w:tcW w:w="88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6,24%</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45,47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45,58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5,74%</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49,94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50,05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6,26%</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45,58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45,69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5,75%</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50,05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50,16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45,69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45,80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5,77%</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50,16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50,27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6,29%</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45,80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45,91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50,27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50,39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6,30%</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45,91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46,02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5,79%</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50,39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50,50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6,32%</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46,02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46,13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50,50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50,61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6,33%</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46,13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46,24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5,81%</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50,61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50,73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6,34%</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46,24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46,35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5,82%</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50,73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50,84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6,36%</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46,35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46,46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5,83%</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50,84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50,95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46,46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46,57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43,9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5,84%</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50,95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51,07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6,39%</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46,57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46,68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5,85%</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51,07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51,18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6,40%</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46,68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46,79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5,86%</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51,18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51,29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6,41%</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46,79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46,90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5,87%</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51,29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51,40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6,43%</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46,90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47,01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51,40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51,52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6,44%</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47,01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47,12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5,89%</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51,52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51,63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47,12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47,23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51,63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51,74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47,23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47,34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5,91%</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51,74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51,86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6,48%</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47,34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47,45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5,92%</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51,86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51,97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6,49%</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47,45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47,56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5,93%</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51,97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52,08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6,51%</w:t>
            </w:r>
          </w:p>
        </w:tc>
      </w:tr>
      <w:tr w:rsidR="00F34828" w:rsidRPr="00090249" w:rsidTr="00774887">
        <w:trPr>
          <w:trHeight w:val="255"/>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47,56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47,68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44,9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5,94%</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52,08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52,20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6,52%</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47,68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47,79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5,96%</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52,20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52,31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6,53%</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47,79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47,90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52,31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52,42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47,90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48,01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5,99%</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52,42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52,53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6,56%</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48,01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48,13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6,01%</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52,53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52,65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48,13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48,24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6,02%</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52,65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52,76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6,59%</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48,24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48,35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6,04%</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52,76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52,87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6,60%</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48,35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48,47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6,05%</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52,87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52,99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6,61%</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48,47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48,58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6,07%</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52,99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53,10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6,62%</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48,58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48,69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53,10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53,21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6,64%</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48,69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48,81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45,9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53,21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53,33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48,81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48,92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6,11%</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53,33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53,44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48,92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49,03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6,13%</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53,44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53,56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6,69%</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49,03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49,14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6,14%</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53,56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53,67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6,70%</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49,14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49,26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6,16%</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53,67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53,79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6,72%</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49,26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49,37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6,17%</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53,79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53,90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6,74%</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49,37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49,48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6,19%</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53,90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54,02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49,48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49,60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54,02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54,13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49,60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49,71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6,22%</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54,13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54,25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6,79%</w:t>
            </w:r>
          </w:p>
        </w:tc>
      </w:tr>
      <w:tr w:rsidR="00F34828" w:rsidRPr="00090249" w:rsidTr="00774887">
        <w:trPr>
          <w:trHeight w:val="255"/>
        </w:trPr>
        <w:tc>
          <w:tcPr>
            <w:tcW w:w="246" w:type="dxa"/>
            <w:tcBorders>
              <w:top w:val="nil"/>
              <w:left w:val="single" w:sz="8" w:space="0" w:color="auto"/>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8"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49,71</w:t>
            </w:r>
          </w:p>
        </w:tc>
        <w:tc>
          <w:tcPr>
            <w:tcW w:w="241"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8"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49,82</w:t>
            </w:r>
          </w:p>
        </w:tc>
        <w:tc>
          <w:tcPr>
            <w:tcW w:w="246" w:type="dxa"/>
            <w:tcBorders>
              <w:top w:val="nil"/>
              <w:left w:val="nil"/>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46,8</w:t>
            </w:r>
          </w:p>
        </w:tc>
        <w:tc>
          <w:tcPr>
            <w:tcW w:w="241"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46,9</w:t>
            </w:r>
          </w:p>
        </w:tc>
        <w:tc>
          <w:tcPr>
            <w:tcW w:w="88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13,00%</w:t>
            </w:r>
          </w:p>
        </w:tc>
        <w:tc>
          <w:tcPr>
            <w:tcW w:w="81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6,23%</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8"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54,25</w:t>
            </w:r>
          </w:p>
        </w:tc>
        <w:tc>
          <w:tcPr>
            <w:tcW w:w="241"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8"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54,36</w:t>
            </w:r>
          </w:p>
        </w:tc>
        <w:tc>
          <w:tcPr>
            <w:tcW w:w="246" w:type="dxa"/>
            <w:tcBorders>
              <w:top w:val="nil"/>
              <w:left w:val="nil"/>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50,8</w:t>
            </w:r>
          </w:p>
        </w:tc>
        <w:tc>
          <w:tcPr>
            <w:tcW w:w="241"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50,9</w:t>
            </w:r>
          </w:p>
        </w:tc>
        <w:tc>
          <w:tcPr>
            <w:tcW w:w="88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6,81%</w:t>
            </w:r>
          </w:p>
        </w:tc>
      </w:tr>
    </w:tbl>
    <w:p w:rsidR="00F34828" w:rsidRDefault="00F34828" w:rsidP="00F34828"/>
    <w:tbl>
      <w:tblPr>
        <w:tblW w:w="9880" w:type="dxa"/>
        <w:tblInd w:w="-515" w:type="dxa"/>
        <w:tblCellMar>
          <w:left w:w="70" w:type="dxa"/>
          <w:right w:w="70" w:type="dxa"/>
        </w:tblCellMar>
        <w:tblLook w:val="04A0" w:firstRow="1" w:lastRow="0" w:firstColumn="1" w:lastColumn="0" w:noHBand="0" w:noVBand="1"/>
      </w:tblPr>
      <w:tblGrid>
        <w:gridCol w:w="246"/>
        <w:gridCol w:w="591"/>
        <w:gridCol w:w="241"/>
        <w:gridCol w:w="591"/>
        <w:gridCol w:w="246"/>
        <w:gridCol w:w="491"/>
        <w:gridCol w:w="241"/>
        <w:gridCol w:w="491"/>
        <w:gridCol w:w="881"/>
        <w:gridCol w:w="811"/>
        <w:gridCol w:w="220"/>
        <w:gridCol w:w="246"/>
        <w:gridCol w:w="591"/>
        <w:gridCol w:w="241"/>
        <w:gridCol w:w="591"/>
        <w:gridCol w:w="246"/>
        <w:gridCol w:w="491"/>
        <w:gridCol w:w="241"/>
        <w:gridCol w:w="491"/>
        <w:gridCol w:w="881"/>
        <w:gridCol w:w="811"/>
      </w:tblGrid>
      <w:tr w:rsidR="00F34828" w:rsidRPr="00090249" w:rsidTr="00774887">
        <w:trPr>
          <w:trHeight w:val="1251"/>
        </w:trPr>
        <w:tc>
          <w:tcPr>
            <w:tcW w:w="4830"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F34828" w:rsidRPr="00090249" w:rsidRDefault="00CC15AA" w:rsidP="00774887">
            <w:pPr>
              <w:jc w:val="both"/>
              <w:rPr>
                <w:rFonts w:ascii="Arial" w:hAnsi="Arial" w:cs="Arial"/>
                <w:sz w:val="18"/>
                <w:szCs w:val="18"/>
                <w:lang w:eastAsia="es-CL"/>
              </w:rPr>
            </w:pPr>
            <w:r>
              <w:rPr>
                <w:rFonts w:ascii="Arial" w:hAnsi="Arial" w:cs="Arial"/>
                <w:sz w:val="18"/>
                <w:szCs w:val="18"/>
                <w:lang w:eastAsia="es-CL"/>
              </w:rPr>
              <w:t xml:space="preserve">A los </w:t>
            </w:r>
            <w:r w:rsidRPr="00090249">
              <w:rPr>
                <w:rFonts w:ascii="Arial" w:hAnsi="Arial" w:cs="Arial"/>
                <w:sz w:val="18"/>
                <w:szCs w:val="18"/>
                <w:lang w:eastAsia="es-CL"/>
              </w:rPr>
              <w:t>E</w:t>
            </w:r>
            <w:r>
              <w:rPr>
                <w:rFonts w:ascii="Arial" w:hAnsi="Arial" w:cs="Arial"/>
                <w:sz w:val="18"/>
                <w:szCs w:val="18"/>
                <w:lang w:eastAsia="es-CL"/>
              </w:rPr>
              <w:t>M</w:t>
            </w:r>
            <w:r w:rsidRPr="00090249">
              <w:rPr>
                <w:rFonts w:ascii="Arial" w:hAnsi="Arial" w:cs="Arial"/>
                <w:sz w:val="18"/>
                <w:szCs w:val="18"/>
                <w:lang w:eastAsia="es-CL"/>
              </w:rPr>
              <w:t xml:space="preserve"> cuyas ventas anuales determinadas conforme a la letra d) del </w:t>
            </w:r>
            <w:r>
              <w:rPr>
                <w:rFonts w:ascii="Arial" w:hAnsi="Arial" w:cs="Arial"/>
                <w:sz w:val="18"/>
                <w:szCs w:val="18"/>
                <w:lang w:eastAsia="es-CL"/>
              </w:rPr>
              <w:t>inciso 3°</w:t>
            </w:r>
            <w:r w:rsidRPr="00090249">
              <w:rPr>
                <w:rFonts w:ascii="Arial" w:hAnsi="Arial" w:cs="Arial"/>
                <w:sz w:val="18"/>
                <w:szCs w:val="18"/>
                <w:lang w:eastAsia="es-CL"/>
              </w:rPr>
              <w:t xml:space="preserve"> del Art. 64 bis de la LIR, excedan al valor equivalente a 50.000 </w:t>
            </w:r>
            <w:r>
              <w:rPr>
                <w:rFonts w:ascii="Arial" w:hAnsi="Arial" w:cs="Arial"/>
                <w:sz w:val="18"/>
                <w:szCs w:val="18"/>
                <w:lang w:eastAsia="es-CL"/>
              </w:rPr>
              <w:t>TMCF,</w:t>
            </w:r>
            <w:r w:rsidRPr="00090249">
              <w:rPr>
                <w:rFonts w:ascii="Arial" w:hAnsi="Arial" w:cs="Arial"/>
                <w:sz w:val="18"/>
                <w:szCs w:val="18"/>
                <w:lang w:eastAsia="es-CL"/>
              </w:rPr>
              <w:t xml:space="preserve"> se les aplicará una tasa correspondiente al MOM, de acuerdo a las siguientes tablas:</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4830"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F34828" w:rsidRPr="00090249" w:rsidRDefault="00CC15AA" w:rsidP="00774887">
            <w:pPr>
              <w:jc w:val="both"/>
              <w:rPr>
                <w:rFonts w:ascii="Arial" w:hAnsi="Arial" w:cs="Arial"/>
                <w:sz w:val="18"/>
                <w:szCs w:val="18"/>
                <w:lang w:eastAsia="es-CL"/>
              </w:rPr>
            </w:pPr>
            <w:r>
              <w:rPr>
                <w:rFonts w:ascii="Arial" w:hAnsi="Arial" w:cs="Arial"/>
                <w:sz w:val="18"/>
                <w:szCs w:val="18"/>
                <w:lang w:eastAsia="es-CL"/>
              </w:rPr>
              <w:t xml:space="preserve">A los </w:t>
            </w:r>
            <w:r w:rsidRPr="00090249">
              <w:rPr>
                <w:rFonts w:ascii="Arial" w:hAnsi="Arial" w:cs="Arial"/>
                <w:sz w:val="18"/>
                <w:szCs w:val="18"/>
                <w:lang w:eastAsia="es-CL"/>
              </w:rPr>
              <w:t>E</w:t>
            </w:r>
            <w:r>
              <w:rPr>
                <w:rFonts w:ascii="Arial" w:hAnsi="Arial" w:cs="Arial"/>
                <w:sz w:val="18"/>
                <w:szCs w:val="18"/>
                <w:lang w:eastAsia="es-CL"/>
              </w:rPr>
              <w:t>M</w:t>
            </w:r>
            <w:r w:rsidRPr="00090249">
              <w:rPr>
                <w:rFonts w:ascii="Arial" w:hAnsi="Arial" w:cs="Arial"/>
                <w:sz w:val="18"/>
                <w:szCs w:val="18"/>
                <w:lang w:eastAsia="es-CL"/>
              </w:rPr>
              <w:t xml:space="preserve"> cuyas ventas anuales determinadas conforme a la letra d) del </w:t>
            </w:r>
            <w:r>
              <w:rPr>
                <w:rFonts w:ascii="Arial" w:hAnsi="Arial" w:cs="Arial"/>
                <w:sz w:val="18"/>
                <w:szCs w:val="18"/>
                <w:lang w:eastAsia="es-CL"/>
              </w:rPr>
              <w:t>inciso 3°</w:t>
            </w:r>
            <w:r w:rsidRPr="00090249">
              <w:rPr>
                <w:rFonts w:ascii="Arial" w:hAnsi="Arial" w:cs="Arial"/>
                <w:sz w:val="18"/>
                <w:szCs w:val="18"/>
                <w:lang w:eastAsia="es-CL"/>
              </w:rPr>
              <w:t xml:space="preserve"> del Art. 64 bis de la LIR, excedan al valor equivalente a 50.000 </w:t>
            </w:r>
            <w:r>
              <w:rPr>
                <w:rFonts w:ascii="Arial" w:hAnsi="Arial" w:cs="Arial"/>
                <w:sz w:val="18"/>
                <w:szCs w:val="18"/>
                <w:lang w:eastAsia="es-CL"/>
              </w:rPr>
              <w:t>TMCF,</w:t>
            </w:r>
            <w:r w:rsidRPr="00090249">
              <w:rPr>
                <w:rFonts w:ascii="Arial" w:hAnsi="Arial" w:cs="Arial"/>
                <w:sz w:val="18"/>
                <w:szCs w:val="18"/>
                <w:lang w:eastAsia="es-CL"/>
              </w:rPr>
              <w:t xml:space="preserve"> se les aplicará una tasa correspondiente al MOM, de acuerdo a las siguientes tablas:</w:t>
            </w:r>
          </w:p>
        </w:tc>
      </w:tr>
      <w:tr w:rsidR="00F34828" w:rsidRPr="00090249" w:rsidTr="00774887">
        <w:trPr>
          <w:trHeight w:val="990"/>
        </w:trPr>
        <w:tc>
          <w:tcPr>
            <w:tcW w:w="1669" w:type="dxa"/>
            <w:gridSpan w:val="4"/>
            <w:tcBorders>
              <w:top w:val="single" w:sz="8" w:space="0" w:color="auto"/>
              <w:left w:val="single" w:sz="8" w:space="0" w:color="auto"/>
              <w:bottom w:val="nil"/>
              <w:right w:val="single" w:sz="8" w:space="0" w:color="000000"/>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1: Margen operacional minero (antes de rebajar IEAM)</w:t>
            </w:r>
          </w:p>
        </w:tc>
        <w:tc>
          <w:tcPr>
            <w:tcW w:w="1469" w:type="dxa"/>
            <w:gridSpan w:val="4"/>
            <w:tcBorders>
              <w:top w:val="single" w:sz="8" w:space="0" w:color="auto"/>
              <w:left w:val="nil"/>
              <w:bottom w:val="nil"/>
              <w:right w:val="single" w:sz="8" w:space="0" w:color="000000"/>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2: Margen operacional minero</w:t>
            </w:r>
          </w:p>
        </w:tc>
        <w:tc>
          <w:tcPr>
            <w:tcW w:w="881"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3: Tasa  Marginal</w:t>
            </w:r>
          </w:p>
        </w:tc>
        <w:tc>
          <w:tcPr>
            <w:tcW w:w="811"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4: Tasa efectiva</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1669" w:type="dxa"/>
            <w:gridSpan w:val="4"/>
            <w:tcBorders>
              <w:top w:val="single" w:sz="8" w:space="0" w:color="auto"/>
              <w:left w:val="single" w:sz="8" w:space="0" w:color="auto"/>
              <w:bottom w:val="nil"/>
              <w:right w:val="single" w:sz="8" w:space="0" w:color="000000"/>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1: Margen operacional minero (antes de rebajar IEAM)</w:t>
            </w:r>
          </w:p>
        </w:tc>
        <w:tc>
          <w:tcPr>
            <w:tcW w:w="1469" w:type="dxa"/>
            <w:gridSpan w:val="4"/>
            <w:tcBorders>
              <w:top w:val="single" w:sz="8" w:space="0" w:color="auto"/>
              <w:left w:val="nil"/>
              <w:bottom w:val="nil"/>
              <w:right w:val="single" w:sz="8" w:space="0" w:color="000000"/>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2: Margen operacional minero</w:t>
            </w:r>
          </w:p>
        </w:tc>
        <w:tc>
          <w:tcPr>
            <w:tcW w:w="881"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3: Tasa  Marginal</w:t>
            </w:r>
          </w:p>
        </w:tc>
        <w:tc>
          <w:tcPr>
            <w:tcW w:w="811"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4: Tasa efectiva</w:t>
            </w:r>
          </w:p>
        </w:tc>
      </w:tr>
      <w:tr w:rsidR="00F34828" w:rsidRPr="00090249" w:rsidTr="00774887">
        <w:trPr>
          <w:trHeight w:val="240"/>
        </w:trPr>
        <w:tc>
          <w:tcPr>
            <w:tcW w:w="246" w:type="dxa"/>
            <w:tcBorders>
              <w:top w:val="single" w:sz="4" w:space="0" w:color="auto"/>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54,36</w:t>
            </w:r>
          </w:p>
        </w:tc>
        <w:tc>
          <w:tcPr>
            <w:tcW w:w="241" w:type="dxa"/>
            <w:tcBorders>
              <w:top w:val="single" w:sz="4"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single" w:sz="4" w:space="0" w:color="auto"/>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54,48</w:t>
            </w:r>
          </w:p>
        </w:tc>
        <w:tc>
          <w:tcPr>
            <w:tcW w:w="246" w:type="dxa"/>
            <w:tcBorders>
              <w:top w:val="single" w:sz="4" w:space="0" w:color="auto"/>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single" w:sz="4" w:space="0" w:color="auto"/>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50,9</w:t>
            </w:r>
          </w:p>
        </w:tc>
        <w:tc>
          <w:tcPr>
            <w:tcW w:w="241" w:type="dxa"/>
            <w:tcBorders>
              <w:top w:val="single" w:sz="4"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51,0</w:t>
            </w:r>
          </w:p>
        </w:tc>
        <w:tc>
          <w:tcPr>
            <w:tcW w:w="88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6,82%</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single" w:sz="4" w:space="0" w:color="auto"/>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58,98</w:t>
            </w:r>
          </w:p>
        </w:tc>
        <w:tc>
          <w:tcPr>
            <w:tcW w:w="241" w:type="dxa"/>
            <w:tcBorders>
              <w:top w:val="single" w:sz="4"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single" w:sz="4" w:space="0" w:color="auto"/>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59,10</w:t>
            </w:r>
          </w:p>
        </w:tc>
        <w:tc>
          <w:tcPr>
            <w:tcW w:w="246" w:type="dxa"/>
            <w:tcBorders>
              <w:top w:val="single" w:sz="4" w:space="0" w:color="auto"/>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single" w:sz="4" w:space="0" w:color="auto"/>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54,9</w:t>
            </w:r>
          </w:p>
        </w:tc>
        <w:tc>
          <w:tcPr>
            <w:tcW w:w="241" w:type="dxa"/>
            <w:tcBorders>
              <w:top w:val="single" w:sz="4"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55,0</w:t>
            </w:r>
          </w:p>
        </w:tc>
        <w:tc>
          <w:tcPr>
            <w:tcW w:w="88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54,48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54,60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6,84%</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59,10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59,22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54,60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54,71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6,86%</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59,22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59,34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7,49%</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54,71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54,83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6,87%</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59,34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59,45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7,51%</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54,83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54,94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6,89%</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59,45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59,57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7,53%</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54,94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55,06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6,91%</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59,57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59,69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55,06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55,17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6,92%</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59,69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59,81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55,17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55,29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6,94%</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59,81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59,93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7,59%</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55,29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55,40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6,96%</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59,93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60,04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7,61%</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55,40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55,52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6,97%</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60,04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60,16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7,62%</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55,52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55,64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51,9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6,99%</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60,16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60,28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7,64%</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55,64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55,75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7,01%</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60,28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60,40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7,66%</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55,75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55,87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7,02%</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60,40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60,52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7,68%</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55,87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55,98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7,04%</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60,52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60,63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7,70%</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55,98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56,10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7,06%</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60,63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60,75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7,72%</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56,10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56,21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7,07%</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60,75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60,87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7,73%</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56,21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56,33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7,09%</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60,87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60,99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56,33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56,44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60,99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61,11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56,44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56,56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7,12%</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61,11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61,22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7,79%</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56,56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56,67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7,14%</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61,22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61,34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7,81%</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56,67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56,79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52,9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7,15%</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61,34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61,46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7,82%</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56,79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56,91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7,17%</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61,46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61,58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7,84%</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56,91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57,02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61,58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61,70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7,86%</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57,02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57,14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61,70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61,81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7,88%</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57,14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57,25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7,21%</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61,81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61,93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7,90%</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57,25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57,37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7,23%</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61,93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62,05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7,91%</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57,37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57,48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7,24%</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62,05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62,17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7,93%</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57,48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57,60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7,26%</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62,17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62,29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57,60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57,71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62,29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62,40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57,71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57,83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7,29%</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62,40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62,52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7,98%</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57,83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57,95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53,9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7,31%</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62,52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62,64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57,95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58,06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7,32%</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62,64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62,76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8,02%</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58,06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58,18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7,34%</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62,76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62,88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8,03%</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58,18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58,29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7,35%</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62,88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62,99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58,29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58,41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7,37%</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62,99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63,11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58,41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58,52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63,11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63,23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8,09%</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58,52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58,64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63,23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63,35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8,10%</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58,64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58,75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7,41%</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63,35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63,47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8,12%</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58,75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58,87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7,43%</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63,47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63,58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8,14%</w:t>
            </w:r>
          </w:p>
        </w:tc>
      </w:tr>
      <w:tr w:rsidR="00F34828" w:rsidRPr="00090249" w:rsidTr="00774887">
        <w:trPr>
          <w:trHeight w:val="255"/>
        </w:trPr>
        <w:tc>
          <w:tcPr>
            <w:tcW w:w="246" w:type="dxa"/>
            <w:tcBorders>
              <w:top w:val="nil"/>
              <w:left w:val="single" w:sz="8" w:space="0" w:color="auto"/>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8"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58,87</w:t>
            </w:r>
          </w:p>
        </w:tc>
        <w:tc>
          <w:tcPr>
            <w:tcW w:w="241"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8"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58,98</w:t>
            </w:r>
          </w:p>
        </w:tc>
        <w:tc>
          <w:tcPr>
            <w:tcW w:w="246" w:type="dxa"/>
            <w:tcBorders>
              <w:top w:val="nil"/>
              <w:left w:val="nil"/>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54,8</w:t>
            </w:r>
          </w:p>
        </w:tc>
        <w:tc>
          <w:tcPr>
            <w:tcW w:w="241"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54,9</w:t>
            </w:r>
          </w:p>
        </w:tc>
        <w:tc>
          <w:tcPr>
            <w:tcW w:w="88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15,50%</w:t>
            </w:r>
          </w:p>
        </w:tc>
        <w:tc>
          <w:tcPr>
            <w:tcW w:w="81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7,44%</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8"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63,58</w:t>
            </w:r>
          </w:p>
        </w:tc>
        <w:tc>
          <w:tcPr>
            <w:tcW w:w="241"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8"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63,70</w:t>
            </w:r>
          </w:p>
        </w:tc>
        <w:tc>
          <w:tcPr>
            <w:tcW w:w="246" w:type="dxa"/>
            <w:tcBorders>
              <w:top w:val="nil"/>
              <w:left w:val="nil"/>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58,8</w:t>
            </w:r>
          </w:p>
        </w:tc>
        <w:tc>
          <w:tcPr>
            <w:tcW w:w="241"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58,9</w:t>
            </w:r>
          </w:p>
        </w:tc>
        <w:tc>
          <w:tcPr>
            <w:tcW w:w="88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8,15%</w:t>
            </w:r>
          </w:p>
        </w:tc>
      </w:tr>
    </w:tbl>
    <w:p w:rsidR="00F34828" w:rsidRDefault="00F34828" w:rsidP="00F34828"/>
    <w:tbl>
      <w:tblPr>
        <w:tblW w:w="9880" w:type="dxa"/>
        <w:tblInd w:w="-515" w:type="dxa"/>
        <w:tblCellMar>
          <w:left w:w="70" w:type="dxa"/>
          <w:right w:w="70" w:type="dxa"/>
        </w:tblCellMar>
        <w:tblLook w:val="04A0" w:firstRow="1" w:lastRow="0" w:firstColumn="1" w:lastColumn="0" w:noHBand="0" w:noVBand="1"/>
      </w:tblPr>
      <w:tblGrid>
        <w:gridCol w:w="246"/>
        <w:gridCol w:w="591"/>
        <w:gridCol w:w="241"/>
        <w:gridCol w:w="591"/>
        <w:gridCol w:w="246"/>
        <w:gridCol w:w="491"/>
        <w:gridCol w:w="241"/>
        <w:gridCol w:w="491"/>
        <w:gridCol w:w="881"/>
        <w:gridCol w:w="811"/>
        <w:gridCol w:w="220"/>
        <w:gridCol w:w="246"/>
        <w:gridCol w:w="591"/>
        <w:gridCol w:w="241"/>
        <w:gridCol w:w="591"/>
        <w:gridCol w:w="246"/>
        <w:gridCol w:w="491"/>
        <w:gridCol w:w="241"/>
        <w:gridCol w:w="491"/>
        <w:gridCol w:w="881"/>
        <w:gridCol w:w="811"/>
      </w:tblGrid>
      <w:tr w:rsidR="00F34828" w:rsidRPr="00090249" w:rsidTr="00774887">
        <w:trPr>
          <w:trHeight w:val="1251"/>
        </w:trPr>
        <w:tc>
          <w:tcPr>
            <w:tcW w:w="4830"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F34828" w:rsidRPr="00090249" w:rsidRDefault="00CC15AA" w:rsidP="00774887">
            <w:pPr>
              <w:jc w:val="both"/>
              <w:rPr>
                <w:rFonts w:ascii="Arial" w:hAnsi="Arial" w:cs="Arial"/>
                <w:sz w:val="18"/>
                <w:szCs w:val="18"/>
                <w:lang w:eastAsia="es-CL"/>
              </w:rPr>
            </w:pPr>
            <w:r>
              <w:rPr>
                <w:rFonts w:ascii="Arial" w:hAnsi="Arial" w:cs="Arial"/>
                <w:sz w:val="18"/>
                <w:szCs w:val="18"/>
                <w:lang w:eastAsia="es-CL"/>
              </w:rPr>
              <w:t xml:space="preserve">A los </w:t>
            </w:r>
            <w:r w:rsidRPr="00090249">
              <w:rPr>
                <w:rFonts w:ascii="Arial" w:hAnsi="Arial" w:cs="Arial"/>
                <w:sz w:val="18"/>
                <w:szCs w:val="18"/>
                <w:lang w:eastAsia="es-CL"/>
              </w:rPr>
              <w:t>E</w:t>
            </w:r>
            <w:r>
              <w:rPr>
                <w:rFonts w:ascii="Arial" w:hAnsi="Arial" w:cs="Arial"/>
                <w:sz w:val="18"/>
                <w:szCs w:val="18"/>
                <w:lang w:eastAsia="es-CL"/>
              </w:rPr>
              <w:t>M</w:t>
            </w:r>
            <w:r w:rsidRPr="00090249">
              <w:rPr>
                <w:rFonts w:ascii="Arial" w:hAnsi="Arial" w:cs="Arial"/>
                <w:sz w:val="18"/>
                <w:szCs w:val="18"/>
                <w:lang w:eastAsia="es-CL"/>
              </w:rPr>
              <w:t xml:space="preserve"> cuyas ventas anuales determinadas conforme a la letra d) del </w:t>
            </w:r>
            <w:r>
              <w:rPr>
                <w:rFonts w:ascii="Arial" w:hAnsi="Arial" w:cs="Arial"/>
                <w:sz w:val="18"/>
                <w:szCs w:val="18"/>
                <w:lang w:eastAsia="es-CL"/>
              </w:rPr>
              <w:t>inciso 3°</w:t>
            </w:r>
            <w:r w:rsidRPr="00090249">
              <w:rPr>
                <w:rFonts w:ascii="Arial" w:hAnsi="Arial" w:cs="Arial"/>
                <w:sz w:val="18"/>
                <w:szCs w:val="18"/>
                <w:lang w:eastAsia="es-CL"/>
              </w:rPr>
              <w:t xml:space="preserve"> del Art. 64 bis de la LIR, excedan al valor equivalente a 50.000 </w:t>
            </w:r>
            <w:r>
              <w:rPr>
                <w:rFonts w:ascii="Arial" w:hAnsi="Arial" w:cs="Arial"/>
                <w:sz w:val="18"/>
                <w:szCs w:val="18"/>
                <w:lang w:eastAsia="es-CL"/>
              </w:rPr>
              <w:t>TMCF,</w:t>
            </w:r>
            <w:r w:rsidRPr="00090249">
              <w:rPr>
                <w:rFonts w:ascii="Arial" w:hAnsi="Arial" w:cs="Arial"/>
                <w:sz w:val="18"/>
                <w:szCs w:val="18"/>
                <w:lang w:eastAsia="es-CL"/>
              </w:rPr>
              <w:t xml:space="preserve"> se les aplicará una tasa correspondiente al MOM, de acuerdo a las siguientes tablas:</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4830"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F34828" w:rsidRPr="00090249" w:rsidRDefault="00CC15AA" w:rsidP="00774887">
            <w:pPr>
              <w:jc w:val="both"/>
              <w:rPr>
                <w:rFonts w:ascii="Arial" w:hAnsi="Arial" w:cs="Arial"/>
                <w:sz w:val="18"/>
                <w:szCs w:val="18"/>
                <w:lang w:eastAsia="es-CL"/>
              </w:rPr>
            </w:pPr>
            <w:r>
              <w:rPr>
                <w:rFonts w:ascii="Arial" w:hAnsi="Arial" w:cs="Arial"/>
                <w:sz w:val="18"/>
                <w:szCs w:val="18"/>
                <w:lang w:eastAsia="es-CL"/>
              </w:rPr>
              <w:t xml:space="preserve">A los </w:t>
            </w:r>
            <w:r w:rsidRPr="00090249">
              <w:rPr>
                <w:rFonts w:ascii="Arial" w:hAnsi="Arial" w:cs="Arial"/>
                <w:sz w:val="18"/>
                <w:szCs w:val="18"/>
                <w:lang w:eastAsia="es-CL"/>
              </w:rPr>
              <w:t>E</w:t>
            </w:r>
            <w:r>
              <w:rPr>
                <w:rFonts w:ascii="Arial" w:hAnsi="Arial" w:cs="Arial"/>
                <w:sz w:val="18"/>
                <w:szCs w:val="18"/>
                <w:lang w:eastAsia="es-CL"/>
              </w:rPr>
              <w:t>M</w:t>
            </w:r>
            <w:r w:rsidRPr="00090249">
              <w:rPr>
                <w:rFonts w:ascii="Arial" w:hAnsi="Arial" w:cs="Arial"/>
                <w:sz w:val="18"/>
                <w:szCs w:val="18"/>
                <w:lang w:eastAsia="es-CL"/>
              </w:rPr>
              <w:t xml:space="preserve"> cuyas ventas anuales determinadas conforme a la letra d) del </w:t>
            </w:r>
            <w:r>
              <w:rPr>
                <w:rFonts w:ascii="Arial" w:hAnsi="Arial" w:cs="Arial"/>
                <w:sz w:val="18"/>
                <w:szCs w:val="18"/>
                <w:lang w:eastAsia="es-CL"/>
              </w:rPr>
              <w:t>inciso 3°</w:t>
            </w:r>
            <w:r w:rsidRPr="00090249">
              <w:rPr>
                <w:rFonts w:ascii="Arial" w:hAnsi="Arial" w:cs="Arial"/>
                <w:sz w:val="18"/>
                <w:szCs w:val="18"/>
                <w:lang w:eastAsia="es-CL"/>
              </w:rPr>
              <w:t xml:space="preserve"> del Art. 64 bis de la LIR, excedan al valor equivalente a 50.000 </w:t>
            </w:r>
            <w:r>
              <w:rPr>
                <w:rFonts w:ascii="Arial" w:hAnsi="Arial" w:cs="Arial"/>
                <w:sz w:val="18"/>
                <w:szCs w:val="18"/>
                <w:lang w:eastAsia="es-CL"/>
              </w:rPr>
              <w:t>TMCF,</w:t>
            </w:r>
            <w:r w:rsidRPr="00090249">
              <w:rPr>
                <w:rFonts w:ascii="Arial" w:hAnsi="Arial" w:cs="Arial"/>
                <w:sz w:val="18"/>
                <w:szCs w:val="18"/>
                <w:lang w:eastAsia="es-CL"/>
              </w:rPr>
              <w:t xml:space="preserve"> se les aplicará una tasa correspondiente al MOM, de acuerdo a las siguientes tablas:</w:t>
            </w:r>
          </w:p>
        </w:tc>
      </w:tr>
      <w:tr w:rsidR="00F34828" w:rsidRPr="00090249" w:rsidTr="00774887">
        <w:trPr>
          <w:trHeight w:val="990"/>
        </w:trPr>
        <w:tc>
          <w:tcPr>
            <w:tcW w:w="1669" w:type="dxa"/>
            <w:gridSpan w:val="4"/>
            <w:tcBorders>
              <w:top w:val="single" w:sz="8" w:space="0" w:color="auto"/>
              <w:left w:val="single" w:sz="8" w:space="0" w:color="auto"/>
              <w:bottom w:val="nil"/>
              <w:right w:val="single" w:sz="8" w:space="0" w:color="000000"/>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1: Margen operacional minero (antes de rebajar IEAM)</w:t>
            </w:r>
          </w:p>
        </w:tc>
        <w:tc>
          <w:tcPr>
            <w:tcW w:w="1469" w:type="dxa"/>
            <w:gridSpan w:val="4"/>
            <w:tcBorders>
              <w:top w:val="single" w:sz="8" w:space="0" w:color="auto"/>
              <w:left w:val="nil"/>
              <w:bottom w:val="nil"/>
              <w:right w:val="single" w:sz="8" w:space="0" w:color="000000"/>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2: Margen operacional minero</w:t>
            </w:r>
          </w:p>
        </w:tc>
        <w:tc>
          <w:tcPr>
            <w:tcW w:w="881"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3: Tasa  Marginal</w:t>
            </w:r>
          </w:p>
        </w:tc>
        <w:tc>
          <w:tcPr>
            <w:tcW w:w="811"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4: Tasa efectiva</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1669" w:type="dxa"/>
            <w:gridSpan w:val="4"/>
            <w:tcBorders>
              <w:top w:val="single" w:sz="8" w:space="0" w:color="auto"/>
              <w:left w:val="single" w:sz="8" w:space="0" w:color="auto"/>
              <w:bottom w:val="nil"/>
              <w:right w:val="single" w:sz="8" w:space="0" w:color="000000"/>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1: Margen operacional minero (antes de rebajar IEAM)</w:t>
            </w:r>
          </w:p>
        </w:tc>
        <w:tc>
          <w:tcPr>
            <w:tcW w:w="1469" w:type="dxa"/>
            <w:gridSpan w:val="4"/>
            <w:tcBorders>
              <w:top w:val="single" w:sz="8" w:space="0" w:color="auto"/>
              <w:left w:val="nil"/>
              <w:bottom w:val="nil"/>
              <w:right w:val="single" w:sz="8" w:space="0" w:color="000000"/>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2: Margen operacional minero</w:t>
            </w:r>
          </w:p>
        </w:tc>
        <w:tc>
          <w:tcPr>
            <w:tcW w:w="881"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3: Tasa  Marginal</w:t>
            </w:r>
          </w:p>
        </w:tc>
        <w:tc>
          <w:tcPr>
            <w:tcW w:w="811"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4: Tasa efectiva</w:t>
            </w:r>
          </w:p>
        </w:tc>
      </w:tr>
      <w:tr w:rsidR="00F34828" w:rsidRPr="00090249" w:rsidTr="00774887">
        <w:trPr>
          <w:trHeight w:val="240"/>
        </w:trPr>
        <w:tc>
          <w:tcPr>
            <w:tcW w:w="246" w:type="dxa"/>
            <w:tcBorders>
              <w:top w:val="single" w:sz="4" w:space="0" w:color="auto"/>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63,70</w:t>
            </w:r>
          </w:p>
        </w:tc>
        <w:tc>
          <w:tcPr>
            <w:tcW w:w="241" w:type="dxa"/>
            <w:tcBorders>
              <w:top w:val="single" w:sz="4"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single" w:sz="4" w:space="0" w:color="auto"/>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63,82</w:t>
            </w:r>
          </w:p>
        </w:tc>
        <w:tc>
          <w:tcPr>
            <w:tcW w:w="246" w:type="dxa"/>
            <w:tcBorders>
              <w:top w:val="single" w:sz="4" w:space="0" w:color="auto"/>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single" w:sz="4" w:space="0" w:color="auto"/>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58,9</w:t>
            </w:r>
          </w:p>
        </w:tc>
        <w:tc>
          <w:tcPr>
            <w:tcW w:w="241" w:type="dxa"/>
            <w:tcBorders>
              <w:top w:val="single" w:sz="4"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59,0</w:t>
            </w:r>
          </w:p>
        </w:tc>
        <w:tc>
          <w:tcPr>
            <w:tcW w:w="88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8,17%</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single" w:sz="4" w:space="0" w:color="auto"/>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68,51</w:t>
            </w:r>
          </w:p>
        </w:tc>
        <w:tc>
          <w:tcPr>
            <w:tcW w:w="241" w:type="dxa"/>
            <w:tcBorders>
              <w:top w:val="single" w:sz="4"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single" w:sz="4" w:space="0" w:color="auto"/>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68,63</w:t>
            </w:r>
          </w:p>
        </w:tc>
        <w:tc>
          <w:tcPr>
            <w:tcW w:w="246" w:type="dxa"/>
            <w:tcBorders>
              <w:top w:val="single" w:sz="4" w:space="0" w:color="auto"/>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single" w:sz="4" w:space="0" w:color="auto"/>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62,9</w:t>
            </w:r>
          </w:p>
        </w:tc>
        <w:tc>
          <w:tcPr>
            <w:tcW w:w="241" w:type="dxa"/>
            <w:tcBorders>
              <w:top w:val="single" w:sz="4"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63,0</w:t>
            </w:r>
          </w:p>
        </w:tc>
        <w:tc>
          <w:tcPr>
            <w:tcW w:w="88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8,94%</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63,82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63,94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8,19%</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68,63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68,75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8,96%</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63,94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64,06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68,75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68,87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8,97%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64,06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64,17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8,22%</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68,87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68,99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8,99%</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64,17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64,29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8,24%</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68,99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69,11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9,01%</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64,29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64,41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8,25%</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69,11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69,24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9,03%</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64,41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64,53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8,27%</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69,24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69,36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9,05%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64,53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64,65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69,36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69,48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9,07%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64,65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64,76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69,48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69,60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9,09%</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64,76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64,88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8,32%</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69,60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69,72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9,11%</w:t>
            </w:r>
          </w:p>
        </w:tc>
      </w:tr>
      <w:tr w:rsidR="00F34828" w:rsidRPr="00090249" w:rsidTr="00774887">
        <w:trPr>
          <w:trHeight w:val="255"/>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64,88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65,00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59,9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18,00%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8,33%</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69,72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69,84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63,9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9,13%</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65,00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65,12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8,35%</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69,84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69,96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9,14%</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65,12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65,24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69,96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70,08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9,16%</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65,24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65,36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70,08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70,20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9,18%</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65,36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65,48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8,42%</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70,20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70,32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9,20%</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65,48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65,61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8,44%</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70,32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70,45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9,22%</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65,61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65,73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8,46%</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70,45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70,57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9,24%</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65,73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65,85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70,57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70,69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9,25%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65,85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65,97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8,50%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70,69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70,81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9,27%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65,97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66,09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8,52%</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70,81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70,93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9,29%</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66,09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66,21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60,9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8,54%</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70,93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71,05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64,9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9,31%</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66,21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66,33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8,56%</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71,05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71,17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9,33%</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66,33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66,45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8,58%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71,17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71,30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9,35%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66,45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66,57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8,60%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71,30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71,42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9,38%</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66,57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66,69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8,62%</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71,42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71,55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9,40%</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66,69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66,82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8,64%</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71,55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71,67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9,42%</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66,82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66,94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8,66%</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71,67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71,79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9,44%</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66,94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67,06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8,68%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71,79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71,92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9,46%</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67,06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67,18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8,70%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71,92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72,04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9,49%</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67,18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67,30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8,72%</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72,04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72,17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9,51%</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67,30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67,42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61,9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8,74%</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72,17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72,29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65,9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9,53%</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67,42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67,54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8,76%</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72,29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72,41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9,55%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67,54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67,66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8,78%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72,41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72,54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9,57%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67,66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67,78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8,80%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72,54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72,66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9,60%</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67,78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67,90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8,82%</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72,66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72,79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9,62%</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67,90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68,03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8,84%</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72,79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72,91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9,64%</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68,03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68,15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8,86%</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72,91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73,03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9,66%</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68,15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68,27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8,88%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73,03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73,16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9,68%</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68,27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68,39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8,90%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73,16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73,28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9,70%</w:t>
            </w:r>
          </w:p>
        </w:tc>
      </w:tr>
      <w:tr w:rsidR="00F34828" w:rsidRPr="00090249" w:rsidTr="00774887">
        <w:trPr>
          <w:trHeight w:val="255"/>
        </w:trPr>
        <w:tc>
          <w:tcPr>
            <w:tcW w:w="246" w:type="dxa"/>
            <w:tcBorders>
              <w:top w:val="nil"/>
              <w:left w:val="single" w:sz="8" w:space="0" w:color="auto"/>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8"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68,39</w:t>
            </w:r>
          </w:p>
        </w:tc>
        <w:tc>
          <w:tcPr>
            <w:tcW w:w="241"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8"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68,51</w:t>
            </w:r>
          </w:p>
        </w:tc>
        <w:tc>
          <w:tcPr>
            <w:tcW w:w="246" w:type="dxa"/>
            <w:tcBorders>
              <w:top w:val="nil"/>
              <w:left w:val="nil"/>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62,8</w:t>
            </w:r>
          </w:p>
        </w:tc>
        <w:tc>
          <w:tcPr>
            <w:tcW w:w="241"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62,9</w:t>
            </w:r>
          </w:p>
        </w:tc>
        <w:tc>
          <w:tcPr>
            <w:tcW w:w="88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21,00%</w:t>
            </w:r>
          </w:p>
        </w:tc>
        <w:tc>
          <w:tcPr>
            <w:tcW w:w="81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8,92%</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8"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73,28</w:t>
            </w:r>
          </w:p>
        </w:tc>
        <w:tc>
          <w:tcPr>
            <w:tcW w:w="241"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8"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73,41</w:t>
            </w:r>
          </w:p>
        </w:tc>
        <w:tc>
          <w:tcPr>
            <w:tcW w:w="246" w:type="dxa"/>
            <w:tcBorders>
              <w:top w:val="nil"/>
              <w:left w:val="nil"/>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66,8</w:t>
            </w:r>
          </w:p>
        </w:tc>
        <w:tc>
          <w:tcPr>
            <w:tcW w:w="241"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66,9</w:t>
            </w:r>
          </w:p>
        </w:tc>
        <w:tc>
          <w:tcPr>
            <w:tcW w:w="88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9,72%</w:t>
            </w:r>
          </w:p>
        </w:tc>
      </w:tr>
    </w:tbl>
    <w:p w:rsidR="00F34828" w:rsidRDefault="00F34828" w:rsidP="00F34828"/>
    <w:tbl>
      <w:tblPr>
        <w:tblpPr w:leftFromText="141" w:rightFromText="141" w:horzAnchor="margin" w:tblpXSpec="center" w:tblpY="-231"/>
        <w:tblW w:w="9880" w:type="dxa"/>
        <w:tblCellMar>
          <w:left w:w="70" w:type="dxa"/>
          <w:right w:w="70" w:type="dxa"/>
        </w:tblCellMar>
        <w:tblLook w:val="04A0" w:firstRow="1" w:lastRow="0" w:firstColumn="1" w:lastColumn="0" w:noHBand="0" w:noVBand="1"/>
      </w:tblPr>
      <w:tblGrid>
        <w:gridCol w:w="246"/>
        <w:gridCol w:w="591"/>
        <w:gridCol w:w="241"/>
        <w:gridCol w:w="591"/>
        <w:gridCol w:w="246"/>
        <w:gridCol w:w="491"/>
        <w:gridCol w:w="241"/>
        <w:gridCol w:w="491"/>
        <w:gridCol w:w="881"/>
        <w:gridCol w:w="811"/>
        <w:gridCol w:w="220"/>
        <w:gridCol w:w="246"/>
        <w:gridCol w:w="591"/>
        <w:gridCol w:w="241"/>
        <w:gridCol w:w="591"/>
        <w:gridCol w:w="246"/>
        <w:gridCol w:w="491"/>
        <w:gridCol w:w="241"/>
        <w:gridCol w:w="491"/>
        <w:gridCol w:w="881"/>
        <w:gridCol w:w="811"/>
      </w:tblGrid>
      <w:tr w:rsidR="00F34828" w:rsidRPr="00090249" w:rsidTr="00774887">
        <w:trPr>
          <w:trHeight w:val="1253"/>
        </w:trPr>
        <w:tc>
          <w:tcPr>
            <w:tcW w:w="4830"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F34828" w:rsidRPr="00090249" w:rsidRDefault="00CC15AA" w:rsidP="00774887">
            <w:pPr>
              <w:jc w:val="both"/>
              <w:rPr>
                <w:rFonts w:ascii="Arial" w:hAnsi="Arial" w:cs="Arial"/>
                <w:sz w:val="18"/>
                <w:szCs w:val="18"/>
                <w:lang w:eastAsia="es-CL"/>
              </w:rPr>
            </w:pPr>
            <w:r>
              <w:rPr>
                <w:rFonts w:ascii="Arial" w:hAnsi="Arial" w:cs="Arial"/>
                <w:sz w:val="18"/>
                <w:szCs w:val="18"/>
                <w:lang w:eastAsia="es-CL"/>
              </w:rPr>
              <w:t xml:space="preserve">A los </w:t>
            </w:r>
            <w:r w:rsidRPr="00090249">
              <w:rPr>
                <w:rFonts w:ascii="Arial" w:hAnsi="Arial" w:cs="Arial"/>
                <w:sz w:val="18"/>
                <w:szCs w:val="18"/>
                <w:lang w:eastAsia="es-CL"/>
              </w:rPr>
              <w:t>E</w:t>
            </w:r>
            <w:r>
              <w:rPr>
                <w:rFonts w:ascii="Arial" w:hAnsi="Arial" w:cs="Arial"/>
                <w:sz w:val="18"/>
                <w:szCs w:val="18"/>
                <w:lang w:eastAsia="es-CL"/>
              </w:rPr>
              <w:t>M</w:t>
            </w:r>
            <w:r w:rsidRPr="00090249">
              <w:rPr>
                <w:rFonts w:ascii="Arial" w:hAnsi="Arial" w:cs="Arial"/>
                <w:sz w:val="18"/>
                <w:szCs w:val="18"/>
                <w:lang w:eastAsia="es-CL"/>
              </w:rPr>
              <w:t xml:space="preserve"> cuyas ventas anuales determinadas conforme a la letra d) del </w:t>
            </w:r>
            <w:r>
              <w:rPr>
                <w:rFonts w:ascii="Arial" w:hAnsi="Arial" w:cs="Arial"/>
                <w:sz w:val="18"/>
                <w:szCs w:val="18"/>
                <w:lang w:eastAsia="es-CL"/>
              </w:rPr>
              <w:t>inciso 3°</w:t>
            </w:r>
            <w:r w:rsidRPr="00090249">
              <w:rPr>
                <w:rFonts w:ascii="Arial" w:hAnsi="Arial" w:cs="Arial"/>
                <w:sz w:val="18"/>
                <w:szCs w:val="18"/>
                <w:lang w:eastAsia="es-CL"/>
              </w:rPr>
              <w:t xml:space="preserve"> del Art. 64 bis de la LIR, excedan al valor equivalente a 50.000 </w:t>
            </w:r>
            <w:r>
              <w:rPr>
                <w:rFonts w:ascii="Arial" w:hAnsi="Arial" w:cs="Arial"/>
                <w:sz w:val="18"/>
                <w:szCs w:val="18"/>
                <w:lang w:eastAsia="es-CL"/>
              </w:rPr>
              <w:t>TMCF,</w:t>
            </w:r>
            <w:r w:rsidRPr="00090249">
              <w:rPr>
                <w:rFonts w:ascii="Arial" w:hAnsi="Arial" w:cs="Arial"/>
                <w:sz w:val="18"/>
                <w:szCs w:val="18"/>
                <w:lang w:eastAsia="es-CL"/>
              </w:rPr>
              <w:t xml:space="preserve"> se les aplicará una tasa correspondiente al MOM, de acuerdo a las siguientes tablas:</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4830"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F34828" w:rsidRPr="00090249" w:rsidRDefault="00CC15AA" w:rsidP="00774887">
            <w:pPr>
              <w:jc w:val="both"/>
              <w:rPr>
                <w:rFonts w:ascii="Arial" w:hAnsi="Arial" w:cs="Arial"/>
                <w:sz w:val="18"/>
                <w:szCs w:val="18"/>
                <w:lang w:eastAsia="es-CL"/>
              </w:rPr>
            </w:pPr>
            <w:r>
              <w:rPr>
                <w:rFonts w:ascii="Arial" w:hAnsi="Arial" w:cs="Arial"/>
                <w:sz w:val="18"/>
                <w:szCs w:val="18"/>
                <w:lang w:eastAsia="es-CL"/>
              </w:rPr>
              <w:t xml:space="preserve">A los </w:t>
            </w:r>
            <w:r w:rsidRPr="00090249">
              <w:rPr>
                <w:rFonts w:ascii="Arial" w:hAnsi="Arial" w:cs="Arial"/>
                <w:sz w:val="18"/>
                <w:szCs w:val="18"/>
                <w:lang w:eastAsia="es-CL"/>
              </w:rPr>
              <w:t>E</w:t>
            </w:r>
            <w:r>
              <w:rPr>
                <w:rFonts w:ascii="Arial" w:hAnsi="Arial" w:cs="Arial"/>
                <w:sz w:val="18"/>
                <w:szCs w:val="18"/>
                <w:lang w:eastAsia="es-CL"/>
              </w:rPr>
              <w:t>M</w:t>
            </w:r>
            <w:r w:rsidRPr="00090249">
              <w:rPr>
                <w:rFonts w:ascii="Arial" w:hAnsi="Arial" w:cs="Arial"/>
                <w:sz w:val="18"/>
                <w:szCs w:val="18"/>
                <w:lang w:eastAsia="es-CL"/>
              </w:rPr>
              <w:t xml:space="preserve"> cuyas ventas anuales determinadas conforme a la letra d) del </w:t>
            </w:r>
            <w:r>
              <w:rPr>
                <w:rFonts w:ascii="Arial" w:hAnsi="Arial" w:cs="Arial"/>
                <w:sz w:val="18"/>
                <w:szCs w:val="18"/>
                <w:lang w:eastAsia="es-CL"/>
              </w:rPr>
              <w:t>inciso 3°</w:t>
            </w:r>
            <w:r w:rsidRPr="00090249">
              <w:rPr>
                <w:rFonts w:ascii="Arial" w:hAnsi="Arial" w:cs="Arial"/>
                <w:sz w:val="18"/>
                <w:szCs w:val="18"/>
                <w:lang w:eastAsia="es-CL"/>
              </w:rPr>
              <w:t xml:space="preserve"> del Art. 64 bis de la LIR, excedan al valor equivalente a 50.000 </w:t>
            </w:r>
            <w:r>
              <w:rPr>
                <w:rFonts w:ascii="Arial" w:hAnsi="Arial" w:cs="Arial"/>
                <w:sz w:val="18"/>
                <w:szCs w:val="18"/>
                <w:lang w:eastAsia="es-CL"/>
              </w:rPr>
              <w:t>TMCF,</w:t>
            </w:r>
            <w:r w:rsidRPr="00090249">
              <w:rPr>
                <w:rFonts w:ascii="Arial" w:hAnsi="Arial" w:cs="Arial"/>
                <w:sz w:val="18"/>
                <w:szCs w:val="18"/>
                <w:lang w:eastAsia="es-CL"/>
              </w:rPr>
              <w:t xml:space="preserve"> se les aplicará una tasa correspondiente al MOM, de acuerdo a las siguientes tablas:</w:t>
            </w:r>
          </w:p>
        </w:tc>
      </w:tr>
      <w:tr w:rsidR="00F34828" w:rsidRPr="00090249" w:rsidTr="00774887">
        <w:trPr>
          <w:trHeight w:val="990"/>
        </w:trPr>
        <w:tc>
          <w:tcPr>
            <w:tcW w:w="1669" w:type="dxa"/>
            <w:gridSpan w:val="4"/>
            <w:tcBorders>
              <w:top w:val="single" w:sz="8" w:space="0" w:color="auto"/>
              <w:left w:val="single" w:sz="8" w:space="0" w:color="auto"/>
              <w:bottom w:val="nil"/>
              <w:right w:val="single" w:sz="8" w:space="0" w:color="000000"/>
            </w:tcBorders>
            <w:shd w:val="clear" w:color="000000" w:fill="969696"/>
            <w:hideMark/>
          </w:tcPr>
          <w:p w:rsidR="00F34828" w:rsidRPr="00090249" w:rsidRDefault="00F34828" w:rsidP="00CC15AA">
            <w:pPr>
              <w:jc w:val="center"/>
              <w:rPr>
                <w:rFonts w:ascii="Arial" w:hAnsi="Arial" w:cs="Arial"/>
                <w:b/>
                <w:bCs/>
                <w:sz w:val="18"/>
                <w:szCs w:val="18"/>
                <w:lang w:eastAsia="es-CL"/>
              </w:rPr>
            </w:pPr>
            <w:r w:rsidRPr="00090249">
              <w:rPr>
                <w:rFonts w:ascii="Arial" w:hAnsi="Arial" w:cs="Arial"/>
                <w:b/>
                <w:bCs/>
                <w:sz w:val="18"/>
                <w:szCs w:val="18"/>
                <w:lang w:eastAsia="es-CL"/>
              </w:rPr>
              <w:t>Tabla 1: M</w:t>
            </w:r>
            <w:r w:rsidR="00CC15AA">
              <w:rPr>
                <w:rFonts w:ascii="Arial" w:hAnsi="Arial" w:cs="Arial"/>
                <w:b/>
                <w:bCs/>
                <w:sz w:val="18"/>
                <w:szCs w:val="18"/>
                <w:lang w:eastAsia="es-CL"/>
              </w:rPr>
              <w:t>OM</w:t>
            </w:r>
            <w:r w:rsidRPr="00090249">
              <w:rPr>
                <w:rFonts w:ascii="Arial" w:hAnsi="Arial" w:cs="Arial"/>
                <w:b/>
                <w:bCs/>
                <w:sz w:val="18"/>
                <w:szCs w:val="18"/>
                <w:lang w:eastAsia="es-CL"/>
              </w:rPr>
              <w:t xml:space="preserve"> (antes de rebajar IEAM)</w:t>
            </w:r>
            <w:r w:rsidR="00CC15AA">
              <w:rPr>
                <w:rFonts w:ascii="Arial" w:hAnsi="Arial" w:cs="Arial"/>
                <w:b/>
                <w:bCs/>
                <w:sz w:val="18"/>
                <w:szCs w:val="18"/>
                <w:lang w:eastAsia="es-CL"/>
              </w:rPr>
              <w:t>.</w:t>
            </w:r>
          </w:p>
        </w:tc>
        <w:tc>
          <w:tcPr>
            <w:tcW w:w="1469" w:type="dxa"/>
            <w:gridSpan w:val="4"/>
            <w:tcBorders>
              <w:top w:val="single" w:sz="8" w:space="0" w:color="auto"/>
              <w:left w:val="nil"/>
              <w:bottom w:val="nil"/>
              <w:right w:val="single" w:sz="8" w:space="0" w:color="000000"/>
            </w:tcBorders>
            <w:shd w:val="clear" w:color="000000" w:fill="969696"/>
            <w:hideMark/>
          </w:tcPr>
          <w:p w:rsidR="00F34828" w:rsidRPr="00090249" w:rsidRDefault="00F34828" w:rsidP="00CC15AA">
            <w:pPr>
              <w:jc w:val="center"/>
              <w:rPr>
                <w:rFonts w:ascii="Arial" w:hAnsi="Arial" w:cs="Arial"/>
                <w:b/>
                <w:bCs/>
                <w:sz w:val="18"/>
                <w:szCs w:val="18"/>
                <w:lang w:eastAsia="es-CL"/>
              </w:rPr>
            </w:pPr>
            <w:r w:rsidRPr="00090249">
              <w:rPr>
                <w:rFonts w:ascii="Arial" w:hAnsi="Arial" w:cs="Arial"/>
                <w:b/>
                <w:bCs/>
                <w:sz w:val="18"/>
                <w:szCs w:val="18"/>
                <w:lang w:eastAsia="es-CL"/>
              </w:rPr>
              <w:t>Tabla 2: M</w:t>
            </w:r>
            <w:r w:rsidR="00CC15AA">
              <w:rPr>
                <w:rFonts w:ascii="Arial" w:hAnsi="Arial" w:cs="Arial"/>
                <w:b/>
                <w:bCs/>
                <w:sz w:val="18"/>
                <w:szCs w:val="18"/>
                <w:lang w:eastAsia="es-CL"/>
              </w:rPr>
              <w:t>OM.</w:t>
            </w:r>
          </w:p>
        </w:tc>
        <w:tc>
          <w:tcPr>
            <w:tcW w:w="881"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3: Tasa  Marginal</w:t>
            </w:r>
          </w:p>
        </w:tc>
        <w:tc>
          <w:tcPr>
            <w:tcW w:w="811"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4: Tasa efectiva</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1669" w:type="dxa"/>
            <w:gridSpan w:val="4"/>
            <w:tcBorders>
              <w:top w:val="single" w:sz="8" w:space="0" w:color="auto"/>
              <w:left w:val="single" w:sz="8" w:space="0" w:color="auto"/>
              <w:bottom w:val="nil"/>
              <w:right w:val="single" w:sz="8" w:space="0" w:color="000000"/>
            </w:tcBorders>
            <w:shd w:val="clear" w:color="000000" w:fill="969696"/>
            <w:hideMark/>
          </w:tcPr>
          <w:p w:rsidR="00F34828" w:rsidRPr="00090249" w:rsidRDefault="00CC15AA" w:rsidP="00774887">
            <w:pPr>
              <w:jc w:val="center"/>
              <w:rPr>
                <w:rFonts w:ascii="Arial" w:hAnsi="Arial" w:cs="Arial"/>
                <w:b/>
                <w:bCs/>
                <w:sz w:val="18"/>
                <w:szCs w:val="18"/>
                <w:lang w:eastAsia="es-CL"/>
              </w:rPr>
            </w:pPr>
            <w:r w:rsidRPr="00090249">
              <w:rPr>
                <w:rFonts w:ascii="Arial" w:hAnsi="Arial" w:cs="Arial"/>
                <w:b/>
                <w:bCs/>
                <w:sz w:val="18"/>
                <w:szCs w:val="18"/>
                <w:lang w:eastAsia="es-CL"/>
              </w:rPr>
              <w:t>Tabla 1: M</w:t>
            </w:r>
            <w:r>
              <w:rPr>
                <w:rFonts w:ascii="Arial" w:hAnsi="Arial" w:cs="Arial"/>
                <w:b/>
                <w:bCs/>
                <w:sz w:val="18"/>
                <w:szCs w:val="18"/>
                <w:lang w:eastAsia="es-CL"/>
              </w:rPr>
              <w:t>OM</w:t>
            </w:r>
            <w:r w:rsidRPr="00090249">
              <w:rPr>
                <w:rFonts w:ascii="Arial" w:hAnsi="Arial" w:cs="Arial"/>
                <w:b/>
                <w:bCs/>
                <w:sz w:val="18"/>
                <w:szCs w:val="18"/>
                <w:lang w:eastAsia="es-CL"/>
              </w:rPr>
              <w:t xml:space="preserve"> (antes de rebajar IEAM)</w:t>
            </w:r>
            <w:r>
              <w:rPr>
                <w:rFonts w:ascii="Arial" w:hAnsi="Arial" w:cs="Arial"/>
                <w:b/>
                <w:bCs/>
                <w:sz w:val="18"/>
                <w:szCs w:val="18"/>
                <w:lang w:eastAsia="es-CL"/>
              </w:rPr>
              <w:t>.</w:t>
            </w:r>
          </w:p>
        </w:tc>
        <w:tc>
          <w:tcPr>
            <w:tcW w:w="1469" w:type="dxa"/>
            <w:gridSpan w:val="4"/>
            <w:tcBorders>
              <w:top w:val="single" w:sz="8" w:space="0" w:color="auto"/>
              <w:left w:val="nil"/>
              <w:bottom w:val="nil"/>
              <w:right w:val="single" w:sz="8" w:space="0" w:color="000000"/>
            </w:tcBorders>
            <w:shd w:val="clear" w:color="000000" w:fill="969696"/>
            <w:hideMark/>
          </w:tcPr>
          <w:p w:rsidR="00F34828" w:rsidRPr="00090249" w:rsidRDefault="00507258" w:rsidP="00774887">
            <w:pPr>
              <w:jc w:val="center"/>
              <w:rPr>
                <w:rFonts w:ascii="Arial" w:hAnsi="Arial" w:cs="Arial"/>
                <w:b/>
                <w:bCs/>
                <w:sz w:val="18"/>
                <w:szCs w:val="18"/>
                <w:lang w:eastAsia="es-CL"/>
              </w:rPr>
            </w:pPr>
            <w:r w:rsidRPr="00090249">
              <w:rPr>
                <w:rFonts w:ascii="Arial" w:hAnsi="Arial" w:cs="Arial"/>
                <w:b/>
                <w:bCs/>
                <w:sz w:val="18"/>
                <w:szCs w:val="18"/>
                <w:lang w:eastAsia="es-CL"/>
              </w:rPr>
              <w:t>Tabla 2: M</w:t>
            </w:r>
            <w:r>
              <w:rPr>
                <w:rFonts w:ascii="Arial" w:hAnsi="Arial" w:cs="Arial"/>
                <w:b/>
                <w:bCs/>
                <w:sz w:val="18"/>
                <w:szCs w:val="18"/>
                <w:lang w:eastAsia="es-CL"/>
              </w:rPr>
              <w:t>OM.</w:t>
            </w:r>
          </w:p>
        </w:tc>
        <w:tc>
          <w:tcPr>
            <w:tcW w:w="881"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3: Tasa  Marginal</w:t>
            </w:r>
          </w:p>
        </w:tc>
        <w:tc>
          <w:tcPr>
            <w:tcW w:w="811"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4: Tasa efectiva</w:t>
            </w:r>
          </w:p>
        </w:tc>
      </w:tr>
      <w:tr w:rsidR="00F34828" w:rsidRPr="00090249" w:rsidTr="00774887">
        <w:trPr>
          <w:trHeight w:val="240"/>
        </w:trPr>
        <w:tc>
          <w:tcPr>
            <w:tcW w:w="246" w:type="dxa"/>
            <w:tcBorders>
              <w:top w:val="single" w:sz="4" w:space="0" w:color="auto"/>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73,41</w:t>
            </w:r>
          </w:p>
        </w:tc>
        <w:tc>
          <w:tcPr>
            <w:tcW w:w="241" w:type="dxa"/>
            <w:tcBorders>
              <w:top w:val="single" w:sz="4"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single" w:sz="4" w:space="0" w:color="auto"/>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73,53</w:t>
            </w:r>
          </w:p>
        </w:tc>
        <w:tc>
          <w:tcPr>
            <w:tcW w:w="246" w:type="dxa"/>
            <w:tcBorders>
              <w:top w:val="single" w:sz="4" w:space="0" w:color="auto"/>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single" w:sz="4" w:space="0" w:color="auto"/>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66,9</w:t>
            </w:r>
          </w:p>
        </w:tc>
        <w:tc>
          <w:tcPr>
            <w:tcW w:w="241" w:type="dxa"/>
            <w:tcBorders>
              <w:top w:val="single" w:sz="4"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67,0</w:t>
            </w:r>
          </w:p>
        </w:tc>
        <w:tc>
          <w:tcPr>
            <w:tcW w:w="88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9,75%</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single" w:sz="4" w:space="0" w:color="auto"/>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78,40</w:t>
            </w:r>
          </w:p>
        </w:tc>
        <w:tc>
          <w:tcPr>
            <w:tcW w:w="241" w:type="dxa"/>
            <w:tcBorders>
              <w:top w:val="single" w:sz="4"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single" w:sz="4" w:space="0" w:color="auto"/>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78,53</w:t>
            </w:r>
          </w:p>
        </w:tc>
        <w:tc>
          <w:tcPr>
            <w:tcW w:w="246" w:type="dxa"/>
            <w:tcBorders>
              <w:top w:val="single" w:sz="4" w:space="0" w:color="auto"/>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single" w:sz="4" w:space="0" w:color="auto"/>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70,9</w:t>
            </w:r>
          </w:p>
        </w:tc>
        <w:tc>
          <w:tcPr>
            <w:tcW w:w="241" w:type="dxa"/>
            <w:tcBorders>
              <w:top w:val="single" w:sz="4"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71,0</w:t>
            </w:r>
          </w:p>
        </w:tc>
        <w:tc>
          <w:tcPr>
            <w:tcW w:w="88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10,60%</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73,53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73,65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9,77%</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78,53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78,65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10,62%</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73,65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73,78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9,79%</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78,65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78,78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10,65%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73,78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73,90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9,81%</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78,78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78,91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10,67%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73,90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74,03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9,83%</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78,91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79,04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10,69%</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74,03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74,15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9,85%</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79,04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79,16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10,72%</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74,15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74,27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9,87%</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79,16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79,29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10,74%</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74,27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74,40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9,89%</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79,29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79,42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10,76%</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74,40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74,52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9,91%</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79,42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79,55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10,79%</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74,52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74,65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9,94%</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79,55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79,67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10,81%</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74,65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74,77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67,9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9,96%</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79,67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79,80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71,9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10,83%</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74,77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74,89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9,98%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79,80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79,93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10,86%</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74,89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75,02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10,00%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79,93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10,88%</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75,02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75,14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10,02%</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80,18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10,90%</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75,14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75,27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10,04%</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80,18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80,31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10,93%</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75,27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75,39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10,06%</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80,31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80,44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10,95%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75,39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75,51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10,08%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80,44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80,57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10,97%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75,51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75,64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10,10%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80,57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80,69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10,99%</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75,64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75,76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10,12%</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80,69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80,82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11,02%</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75,76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75,89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10,14%</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80,82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80,95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11,04%</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75,89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76,01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68,9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10,16%</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80,95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81,08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72,9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11,06%</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76,01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76,13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10,18%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81,08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81,20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11,08%</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76,13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76,26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10,20%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81,20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81,33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11,11%</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76,26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76,38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10,22%</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81,33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81,46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11,13%</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76,38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76,51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10,24%</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81,46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81,59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11,15%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76,51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76,63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10,26%</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81,59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81,71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11,17%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76,63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76,75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10,28%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81,71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81,84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11,20%</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76,75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76,88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10,30%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81,84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81,97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11,22%</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76,88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77,00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10,32%</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81,97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82,10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11,24%</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77,00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77,13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10,34%</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82,10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82,22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11,26%</w:t>
            </w:r>
          </w:p>
        </w:tc>
      </w:tr>
      <w:tr w:rsidR="00F34828" w:rsidRPr="00090249" w:rsidTr="00774887">
        <w:trPr>
          <w:trHeight w:val="255"/>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77,13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77,25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69,9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24,00%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10,36%</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82,22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82,35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73,9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11,28%</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77,25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77,38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10,38%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82,35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82,48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11,31%</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77,38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77,51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10,41%</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82,48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82,61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11,33%</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77,51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77,63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10,43%</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82,61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82,73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11,35%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77,63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77,76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10,45%</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82,73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82,86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11,37%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77,76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77,89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10,48%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82,86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82,99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11,39%</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77,89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78,02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82,99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83,12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11,41%</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78,02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78,14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10,53%</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83,12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83,24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11,44%</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78,14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78,27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10,55%</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83,24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83,37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11,46%</w:t>
            </w:r>
          </w:p>
        </w:tc>
      </w:tr>
      <w:tr w:rsidR="00F34828" w:rsidRPr="00090249" w:rsidTr="00774887">
        <w:trPr>
          <w:trHeight w:val="255"/>
        </w:trPr>
        <w:tc>
          <w:tcPr>
            <w:tcW w:w="246" w:type="dxa"/>
            <w:tcBorders>
              <w:top w:val="nil"/>
              <w:left w:val="single" w:sz="8" w:space="0" w:color="auto"/>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8"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78,27</w:t>
            </w:r>
          </w:p>
        </w:tc>
        <w:tc>
          <w:tcPr>
            <w:tcW w:w="241"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8"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78,40</w:t>
            </w:r>
          </w:p>
        </w:tc>
        <w:tc>
          <w:tcPr>
            <w:tcW w:w="246" w:type="dxa"/>
            <w:tcBorders>
              <w:top w:val="nil"/>
              <w:left w:val="nil"/>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70,8</w:t>
            </w:r>
          </w:p>
        </w:tc>
        <w:tc>
          <w:tcPr>
            <w:tcW w:w="241"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70,9</w:t>
            </w:r>
          </w:p>
        </w:tc>
        <w:tc>
          <w:tcPr>
            <w:tcW w:w="88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10,57%</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8"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83,37</w:t>
            </w:r>
          </w:p>
        </w:tc>
        <w:tc>
          <w:tcPr>
            <w:tcW w:w="241"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8"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83,50</w:t>
            </w:r>
          </w:p>
        </w:tc>
        <w:tc>
          <w:tcPr>
            <w:tcW w:w="246" w:type="dxa"/>
            <w:tcBorders>
              <w:top w:val="nil"/>
              <w:left w:val="nil"/>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74,8</w:t>
            </w:r>
          </w:p>
        </w:tc>
        <w:tc>
          <w:tcPr>
            <w:tcW w:w="241"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74,9</w:t>
            </w:r>
          </w:p>
        </w:tc>
        <w:tc>
          <w:tcPr>
            <w:tcW w:w="88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11,48%</w:t>
            </w:r>
          </w:p>
        </w:tc>
      </w:tr>
    </w:tbl>
    <w:p w:rsidR="00F34828" w:rsidRDefault="00F34828" w:rsidP="00F34828"/>
    <w:p w:rsidR="00F34828" w:rsidRDefault="00F34828" w:rsidP="00F34828"/>
    <w:tbl>
      <w:tblPr>
        <w:tblW w:w="9880" w:type="dxa"/>
        <w:tblInd w:w="-515" w:type="dxa"/>
        <w:tblCellMar>
          <w:left w:w="70" w:type="dxa"/>
          <w:right w:w="70" w:type="dxa"/>
        </w:tblCellMar>
        <w:tblLook w:val="04A0" w:firstRow="1" w:lastRow="0" w:firstColumn="1" w:lastColumn="0" w:noHBand="0" w:noVBand="1"/>
      </w:tblPr>
      <w:tblGrid>
        <w:gridCol w:w="246"/>
        <w:gridCol w:w="591"/>
        <w:gridCol w:w="241"/>
        <w:gridCol w:w="591"/>
        <w:gridCol w:w="246"/>
        <w:gridCol w:w="491"/>
        <w:gridCol w:w="241"/>
        <w:gridCol w:w="491"/>
        <w:gridCol w:w="881"/>
        <w:gridCol w:w="811"/>
        <w:gridCol w:w="220"/>
        <w:gridCol w:w="246"/>
        <w:gridCol w:w="591"/>
        <w:gridCol w:w="241"/>
        <w:gridCol w:w="591"/>
        <w:gridCol w:w="246"/>
        <w:gridCol w:w="491"/>
        <w:gridCol w:w="241"/>
        <w:gridCol w:w="491"/>
        <w:gridCol w:w="881"/>
        <w:gridCol w:w="811"/>
      </w:tblGrid>
      <w:tr w:rsidR="00F34828" w:rsidRPr="00090249" w:rsidTr="00774887">
        <w:trPr>
          <w:trHeight w:val="1251"/>
        </w:trPr>
        <w:tc>
          <w:tcPr>
            <w:tcW w:w="4830"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F34828" w:rsidRPr="00090249" w:rsidRDefault="00507258" w:rsidP="00774887">
            <w:pPr>
              <w:jc w:val="both"/>
              <w:rPr>
                <w:rFonts w:ascii="Arial" w:hAnsi="Arial" w:cs="Arial"/>
                <w:sz w:val="18"/>
                <w:szCs w:val="18"/>
                <w:lang w:eastAsia="es-CL"/>
              </w:rPr>
            </w:pPr>
            <w:r>
              <w:rPr>
                <w:rFonts w:ascii="Arial" w:hAnsi="Arial" w:cs="Arial"/>
                <w:sz w:val="18"/>
                <w:szCs w:val="18"/>
                <w:lang w:eastAsia="es-CL"/>
              </w:rPr>
              <w:t xml:space="preserve">A los </w:t>
            </w:r>
            <w:r w:rsidRPr="00090249">
              <w:rPr>
                <w:rFonts w:ascii="Arial" w:hAnsi="Arial" w:cs="Arial"/>
                <w:sz w:val="18"/>
                <w:szCs w:val="18"/>
                <w:lang w:eastAsia="es-CL"/>
              </w:rPr>
              <w:t>E</w:t>
            </w:r>
            <w:r>
              <w:rPr>
                <w:rFonts w:ascii="Arial" w:hAnsi="Arial" w:cs="Arial"/>
                <w:sz w:val="18"/>
                <w:szCs w:val="18"/>
                <w:lang w:eastAsia="es-CL"/>
              </w:rPr>
              <w:t>M</w:t>
            </w:r>
            <w:r w:rsidRPr="00090249">
              <w:rPr>
                <w:rFonts w:ascii="Arial" w:hAnsi="Arial" w:cs="Arial"/>
                <w:sz w:val="18"/>
                <w:szCs w:val="18"/>
                <w:lang w:eastAsia="es-CL"/>
              </w:rPr>
              <w:t xml:space="preserve"> cuyas ventas anuales determinadas conforme a la letra d) del </w:t>
            </w:r>
            <w:r>
              <w:rPr>
                <w:rFonts w:ascii="Arial" w:hAnsi="Arial" w:cs="Arial"/>
                <w:sz w:val="18"/>
                <w:szCs w:val="18"/>
                <w:lang w:eastAsia="es-CL"/>
              </w:rPr>
              <w:t>inciso 3°</w:t>
            </w:r>
            <w:r w:rsidRPr="00090249">
              <w:rPr>
                <w:rFonts w:ascii="Arial" w:hAnsi="Arial" w:cs="Arial"/>
                <w:sz w:val="18"/>
                <w:szCs w:val="18"/>
                <w:lang w:eastAsia="es-CL"/>
              </w:rPr>
              <w:t xml:space="preserve"> del Art. 64 bis de la LIR, excedan al valor equivalente a 50.000 </w:t>
            </w:r>
            <w:r>
              <w:rPr>
                <w:rFonts w:ascii="Arial" w:hAnsi="Arial" w:cs="Arial"/>
                <w:sz w:val="18"/>
                <w:szCs w:val="18"/>
                <w:lang w:eastAsia="es-CL"/>
              </w:rPr>
              <w:t>TMCF,</w:t>
            </w:r>
            <w:r w:rsidRPr="00090249">
              <w:rPr>
                <w:rFonts w:ascii="Arial" w:hAnsi="Arial" w:cs="Arial"/>
                <w:sz w:val="18"/>
                <w:szCs w:val="18"/>
                <w:lang w:eastAsia="es-CL"/>
              </w:rPr>
              <w:t xml:space="preserve"> se les aplicará una tasa correspondiente al MOM, de acuerdo a las siguientes tablas:</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4830"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F34828" w:rsidRPr="00090249" w:rsidRDefault="00507258" w:rsidP="00774887">
            <w:pPr>
              <w:jc w:val="both"/>
              <w:rPr>
                <w:rFonts w:ascii="Arial" w:hAnsi="Arial" w:cs="Arial"/>
                <w:sz w:val="18"/>
                <w:szCs w:val="18"/>
                <w:lang w:eastAsia="es-CL"/>
              </w:rPr>
            </w:pPr>
            <w:r>
              <w:rPr>
                <w:rFonts w:ascii="Arial" w:hAnsi="Arial" w:cs="Arial"/>
                <w:sz w:val="18"/>
                <w:szCs w:val="18"/>
                <w:lang w:eastAsia="es-CL"/>
              </w:rPr>
              <w:t xml:space="preserve">A los </w:t>
            </w:r>
            <w:r w:rsidRPr="00090249">
              <w:rPr>
                <w:rFonts w:ascii="Arial" w:hAnsi="Arial" w:cs="Arial"/>
                <w:sz w:val="18"/>
                <w:szCs w:val="18"/>
                <w:lang w:eastAsia="es-CL"/>
              </w:rPr>
              <w:t>E</w:t>
            </w:r>
            <w:r>
              <w:rPr>
                <w:rFonts w:ascii="Arial" w:hAnsi="Arial" w:cs="Arial"/>
                <w:sz w:val="18"/>
                <w:szCs w:val="18"/>
                <w:lang w:eastAsia="es-CL"/>
              </w:rPr>
              <w:t>M</w:t>
            </w:r>
            <w:r w:rsidRPr="00090249">
              <w:rPr>
                <w:rFonts w:ascii="Arial" w:hAnsi="Arial" w:cs="Arial"/>
                <w:sz w:val="18"/>
                <w:szCs w:val="18"/>
                <w:lang w:eastAsia="es-CL"/>
              </w:rPr>
              <w:t xml:space="preserve"> cuyas ventas anuales determinadas conforme a la letra d) del </w:t>
            </w:r>
            <w:r>
              <w:rPr>
                <w:rFonts w:ascii="Arial" w:hAnsi="Arial" w:cs="Arial"/>
                <w:sz w:val="18"/>
                <w:szCs w:val="18"/>
                <w:lang w:eastAsia="es-CL"/>
              </w:rPr>
              <w:t>inciso 3°</w:t>
            </w:r>
            <w:r w:rsidRPr="00090249">
              <w:rPr>
                <w:rFonts w:ascii="Arial" w:hAnsi="Arial" w:cs="Arial"/>
                <w:sz w:val="18"/>
                <w:szCs w:val="18"/>
                <w:lang w:eastAsia="es-CL"/>
              </w:rPr>
              <w:t xml:space="preserve"> del Art. 64 bis de la LIR, excedan al valor equivalente a 50.000 </w:t>
            </w:r>
            <w:r>
              <w:rPr>
                <w:rFonts w:ascii="Arial" w:hAnsi="Arial" w:cs="Arial"/>
                <w:sz w:val="18"/>
                <w:szCs w:val="18"/>
                <w:lang w:eastAsia="es-CL"/>
              </w:rPr>
              <w:t>TMCF,</w:t>
            </w:r>
            <w:r w:rsidRPr="00090249">
              <w:rPr>
                <w:rFonts w:ascii="Arial" w:hAnsi="Arial" w:cs="Arial"/>
                <w:sz w:val="18"/>
                <w:szCs w:val="18"/>
                <w:lang w:eastAsia="es-CL"/>
              </w:rPr>
              <w:t xml:space="preserve"> se les aplicará una tasa correspondiente al MOM, de acuerdo a las siguientes tablas:</w:t>
            </w:r>
          </w:p>
        </w:tc>
      </w:tr>
      <w:tr w:rsidR="00F34828" w:rsidRPr="00090249" w:rsidTr="00774887">
        <w:trPr>
          <w:trHeight w:val="990"/>
        </w:trPr>
        <w:tc>
          <w:tcPr>
            <w:tcW w:w="1669" w:type="dxa"/>
            <w:gridSpan w:val="4"/>
            <w:tcBorders>
              <w:top w:val="single" w:sz="8" w:space="0" w:color="auto"/>
              <w:left w:val="single" w:sz="8" w:space="0" w:color="auto"/>
              <w:bottom w:val="nil"/>
              <w:right w:val="single" w:sz="8" w:space="0" w:color="000000"/>
            </w:tcBorders>
            <w:shd w:val="clear" w:color="000000" w:fill="969696"/>
            <w:hideMark/>
          </w:tcPr>
          <w:p w:rsidR="00F34828" w:rsidRPr="00090249" w:rsidRDefault="00F34828" w:rsidP="00507258">
            <w:pPr>
              <w:jc w:val="center"/>
              <w:rPr>
                <w:rFonts w:ascii="Arial" w:hAnsi="Arial" w:cs="Arial"/>
                <w:b/>
                <w:bCs/>
                <w:sz w:val="18"/>
                <w:szCs w:val="18"/>
                <w:lang w:eastAsia="es-CL"/>
              </w:rPr>
            </w:pPr>
            <w:r w:rsidRPr="00090249">
              <w:rPr>
                <w:rFonts w:ascii="Arial" w:hAnsi="Arial" w:cs="Arial"/>
                <w:b/>
                <w:bCs/>
                <w:sz w:val="18"/>
                <w:szCs w:val="18"/>
                <w:lang w:eastAsia="es-CL"/>
              </w:rPr>
              <w:t>Tabla 1: M</w:t>
            </w:r>
            <w:r w:rsidR="00507258">
              <w:rPr>
                <w:rFonts w:ascii="Arial" w:hAnsi="Arial" w:cs="Arial"/>
                <w:b/>
                <w:bCs/>
                <w:sz w:val="18"/>
                <w:szCs w:val="18"/>
                <w:lang w:eastAsia="es-CL"/>
              </w:rPr>
              <w:t>OM</w:t>
            </w:r>
            <w:r w:rsidRPr="00090249">
              <w:rPr>
                <w:rFonts w:ascii="Arial" w:hAnsi="Arial" w:cs="Arial"/>
                <w:b/>
                <w:bCs/>
                <w:sz w:val="18"/>
                <w:szCs w:val="18"/>
                <w:lang w:eastAsia="es-CL"/>
              </w:rPr>
              <w:t xml:space="preserve"> (antes de rebajar IEAM)</w:t>
            </w:r>
          </w:p>
        </w:tc>
        <w:tc>
          <w:tcPr>
            <w:tcW w:w="1469" w:type="dxa"/>
            <w:gridSpan w:val="4"/>
            <w:tcBorders>
              <w:top w:val="single" w:sz="8" w:space="0" w:color="auto"/>
              <w:left w:val="nil"/>
              <w:bottom w:val="nil"/>
              <w:right w:val="single" w:sz="8" w:space="0" w:color="000000"/>
            </w:tcBorders>
            <w:shd w:val="clear" w:color="000000" w:fill="969696"/>
            <w:hideMark/>
          </w:tcPr>
          <w:p w:rsidR="00F34828" w:rsidRPr="00090249" w:rsidRDefault="00F34828" w:rsidP="00507258">
            <w:pPr>
              <w:jc w:val="center"/>
              <w:rPr>
                <w:rFonts w:ascii="Arial" w:hAnsi="Arial" w:cs="Arial"/>
                <w:b/>
                <w:bCs/>
                <w:sz w:val="18"/>
                <w:szCs w:val="18"/>
                <w:lang w:eastAsia="es-CL"/>
              </w:rPr>
            </w:pPr>
            <w:r w:rsidRPr="00090249">
              <w:rPr>
                <w:rFonts w:ascii="Arial" w:hAnsi="Arial" w:cs="Arial"/>
                <w:b/>
                <w:bCs/>
                <w:sz w:val="18"/>
                <w:szCs w:val="18"/>
                <w:lang w:eastAsia="es-CL"/>
              </w:rPr>
              <w:t>Tabla 2: M</w:t>
            </w:r>
            <w:r w:rsidR="00507258">
              <w:rPr>
                <w:rFonts w:ascii="Arial" w:hAnsi="Arial" w:cs="Arial"/>
                <w:b/>
                <w:bCs/>
                <w:sz w:val="18"/>
                <w:szCs w:val="18"/>
                <w:lang w:eastAsia="es-CL"/>
              </w:rPr>
              <w:t>OM</w:t>
            </w:r>
          </w:p>
        </w:tc>
        <w:tc>
          <w:tcPr>
            <w:tcW w:w="881"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3: Tasa  Marginal</w:t>
            </w:r>
          </w:p>
        </w:tc>
        <w:tc>
          <w:tcPr>
            <w:tcW w:w="811"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4: Tasa efectiva</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rPr>
                <w:rFonts w:ascii="Arial" w:hAnsi="Arial" w:cs="Arial"/>
                <w:sz w:val="18"/>
                <w:szCs w:val="18"/>
                <w:lang w:eastAsia="es-CL"/>
              </w:rPr>
            </w:pPr>
            <w:r w:rsidRPr="00090249">
              <w:rPr>
                <w:rFonts w:ascii="Arial" w:hAnsi="Arial" w:cs="Arial"/>
                <w:sz w:val="18"/>
                <w:szCs w:val="18"/>
                <w:lang w:eastAsia="es-CL"/>
              </w:rPr>
              <w:t> </w:t>
            </w:r>
          </w:p>
        </w:tc>
        <w:tc>
          <w:tcPr>
            <w:tcW w:w="1669" w:type="dxa"/>
            <w:gridSpan w:val="4"/>
            <w:tcBorders>
              <w:top w:val="single" w:sz="8" w:space="0" w:color="auto"/>
              <w:left w:val="single" w:sz="8" w:space="0" w:color="auto"/>
              <w:bottom w:val="nil"/>
              <w:right w:val="single" w:sz="8" w:space="0" w:color="000000"/>
            </w:tcBorders>
            <w:shd w:val="clear" w:color="000000" w:fill="969696"/>
            <w:hideMark/>
          </w:tcPr>
          <w:p w:rsidR="00F34828" w:rsidRPr="00090249" w:rsidRDefault="00507258" w:rsidP="00774887">
            <w:pPr>
              <w:jc w:val="center"/>
              <w:rPr>
                <w:rFonts w:ascii="Arial" w:hAnsi="Arial" w:cs="Arial"/>
                <w:b/>
                <w:bCs/>
                <w:sz w:val="18"/>
                <w:szCs w:val="18"/>
                <w:lang w:eastAsia="es-CL"/>
              </w:rPr>
            </w:pPr>
            <w:r w:rsidRPr="00090249">
              <w:rPr>
                <w:rFonts w:ascii="Arial" w:hAnsi="Arial" w:cs="Arial"/>
                <w:b/>
                <w:bCs/>
                <w:sz w:val="18"/>
                <w:szCs w:val="18"/>
                <w:lang w:eastAsia="es-CL"/>
              </w:rPr>
              <w:t>Tabla 1: M</w:t>
            </w:r>
            <w:r>
              <w:rPr>
                <w:rFonts w:ascii="Arial" w:hAnsi="Arial" w:cs="Arial"/>
                <w:b/>
                <w:bCs/>
                <w:sz w:val="18"/>
                <w:szCs w:val="18"/>
                <w:lang w:eastAsia="es-CL"/>
              </w:rPr>
              <w:t>OM</w:t>
            </w:r>
            <w:r w:rsidRPr="00090249">
              <w:rPr>
                <w:rFonts w:ascii="Arial" w:hAnsi="Arial" w:cs="Arial"/>
                <w:b/>
                <w:bCs/>
                <w:sz w:val="18"/>
                <w:szCs w:val="18"/>
                <w:lang w:eastAsia="es-CL"/>
              </w:rPr>
              <w:t xml:space="preserve"> (antes de rebajar IEAM)</w:t>
            </w:r>
          </w:p>
        </w:tc>
        <w:tc>
          <w:tcPr>
            <w:tcW w:w="1469" w:type="dxa"/>
            <w:gridSpan w:val="4"/>
            <w:tcBorders>
              <w:top w:val="single" w:sz="8" w:space="0" w:color="auto"/>
              <w:left w:val="nil"/>
              <w:bottom w:val="nil"/>
              <w:right w:val="single" w:sz="8" w:space="0" w:color="000000"/>
            </w:tcBorders>
            <w:shd w:val="clear" w:color="000000" w:fill="969696"/>
            <w:hideMark/>
          </w:tcPr>
          <w:p w:rsidR="00F34828" w:rsidRPr="00090249" w:rsidRDefault="00507258" w:rsidP="00774887">
            <w:pPr>
              <w:jc w:val="center"/>
              <w:rPr>
                <w:rFonts w:ascii="Arial" w:hAnsi="Arial" w:cs="Arial"/>
                <w:b/>
                <w:bCs/>
                <w:sz w:val="18"/>
                <w:szCs w:val="18"/>
                <w:lang w:eastAsia="es-CL"/>
              </w:rPr>
            </w:pPr>
            <w:r w:rsidRPr="00090249">
              <w:rPr>
                <w:rFonts w:ascii="Arial" w:hAnsi="Arial" w:cs="Arial"/>
                <w:b/>
                <w:bCs/>
                <w:sz w:val="18"/>
                <w:szCs w:val="18"/>
                <w:lang w:eastAsia="es-CL"/>
              </w:rPr>
              <w:t>Tabla 2: M</w:t>
            </w:r>
            <w:r>
              <w:rPr>
                <w:rFonts w:ascii="Arial" w:hAnsi="Arial" w:cs="Arial"/>
                <w:b/>
                <w:bCs/>
                <w:sz w:val="18"/>
                <w:szCs w:val="18"/>
                <w:lang w:eastAsia="es-CL"/>
              </w:rPr>
              <w:t>OM</w:t>
            </w:r>
          </w:p>
        </w:tc>
        <w:tc>
          <w:tcPr>
            <w:tcW w:w="881"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3: Tasa  Marginal</w:t>
            </w:r>
          </w:p>
        </w:tc>
        <w:tc>
          <w:tcPr>
            <w:tcW w:w="811"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4: Tasa efectiva</w:t>
            </w:r>
          </w:p>
        </w:tc>
      </w:tr>
      <w:tr w:rsidR="00F34828" w:rsidRPr="00090249" w:rsidTr="00774887">
        <w:trPr>
          <w:trHeight w:val="255"/>
        </w:trPr>
        <w:tc>
          <w:tcPr>
            <w:tcW w:w="246" w:type="dxa"/>
            <w:tcBorders>
              <w:top w:val="single" w:sz="4" w:space="0" w:color="auto"/>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83,50</w:t>
            </w:r>
          </w:p>
        </w:tc>
        <w:tc>
          <w:tcPr>
            <w:tcW w:w="241" w:type="dxa"/>
            <w:tcBorders>
              <w:top w:val="single" w:sz="4"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single" w:sz="4" w:space="0" w:color="auto"/>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83,63</w:t>
            </w:r>
          </w:p>
        </w:tc>
        <w:tc>
          <w:tcPr>
            <w:tcW w:w="246" w:type="dxa"/>
            <w:tcBorders>
              <w:top w:val="single" w:sz="4" w:space="0" w:color="auto"/>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single" w:sz="4" w:space="0" w:color="auto"/>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74,9</w:t>
            </w:r>
          </w:p>
        </w:tc>
        <w:tc>
          <w:tcPr>
            <w:tcW w:w="241" w:type="dxa"/>
            <w:tcBorders>
              <w:top w:val="single" w:sz="4"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75,0</w:t>
            </w:r>
          </w:p>
        </w:tc>
        <w:tc>
          <w:tcPr>
            <w:tcW w:w="88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27,50%</w:t>
            </w:r>
          </w:p>
        </w:tc>
        <w:tc>
          <w:tcPr>
            <w:tcW w:w="81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11,50%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single" w:sz="4" w:space="0" w:color="auto"/>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88,73</w:t>
            </w:r>
          </w:p>
        </w:tc>
        <w:tc>
          <w:tcPr>
            <w:tcW w:w="241" w:type="dxa"/>
            <w:tcBorders>
              <w:top w:val="single" w:sz="4"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single" w:sz="4" w:space="0" w:color="auto"/>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88,87</w:t>
            </w:r>
          </w:p>
        </w:tc>
        <w:tc>
          <w:tcPr>
            <w:tcW w:w="246" w:type="dxa"/>
            <w:tcBorders>
              <w:top w:val="single" w:sz="4" w:space="0" w:color="auto"/>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single" w:sz="4" w:space="0" w:color="auto"/>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78,9</w:t>
            </w:r>
          </w:p>
        </w:tc>
        <w:tc>
          <w:tcPr>
            <w:tcW w:w="241" w:type="dxa"/>
            <w:tcBorders>
              <w:top w:val="single" w:sz="4"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79,0</w:t>
            </w:r>
          </w:p>
        </w:tc>
        <w:tc>
          <w:tcPr>
            <w:tcW w:w="88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12,49%</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83,63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83,76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11,53%</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88,87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89,00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12,51%</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83,76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83,89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11,55%</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89,00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89,13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12,53%</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83,89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84,02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11,58%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89,13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89,26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12,56%</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84,02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84,15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11,60%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89,26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89,39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12,58%</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84,15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84,28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11,63%</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89,39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89,52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12,60%</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84,28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84,41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11,65%</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89,52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89,65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12,63%</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84,41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84,54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11,68%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89,65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89,78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12,65%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84,54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84,67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11,71%</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89,78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89,91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12,67%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84,67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84,80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11,73%</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89,91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90,04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12,70%</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84,80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84,94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75,9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11,76%</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90,04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90,18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79,9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12,72%</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84,94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85,07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11,78%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90,18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90,31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12,75%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85,07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85,20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11,81%</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90,31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90,44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12,77%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85,20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85,33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11,83%</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90,44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90,58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12,80%</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85,33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85,46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11,86%</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90,58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90,71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12,83%</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85,46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85,59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11,88%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90,71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90,85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12,85%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85,59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85,72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11,91%</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90,85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90,98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12,88%</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85,72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85,85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11,93%</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90,98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91,12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12,91%</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85,85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85,98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11,96%</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91,12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91,25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12,93%</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85,98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86,11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11,98%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91,25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91,39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12,96%</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86,11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86,25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76,9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12,01%</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91,39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91,52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80,9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12,99%</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86,25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86,38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12,03%</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91,52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91,65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13,01%</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86,38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86,51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12,06%</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91,65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91,79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13,04%</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86,51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86,64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12,08%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91,79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91,92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86,64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86,77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12,10%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91,92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92,06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13,09%</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86,77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86,90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12,13%</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92,06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92,19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13,12%</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86,90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87,03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12,15%</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92,19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92,33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13,15%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87,03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87,16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12,18%</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92,33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92,46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13,17%</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87,16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87,29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12,20%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92,46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92,60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13,20%</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87,29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87,42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12,23%</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92,60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92,73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81,9</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13,22%</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87,42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87,56</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77,9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12,25%</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92,73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92,87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81,9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82,0</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13,25%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87,56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87,69</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12,27%</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92,87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93,00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82,1</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13,28%</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87,69</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87,82</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12,30%</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93,00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93,13</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82,2</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13,30%</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87,82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87,95</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12,32%</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93,13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93,27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82,2</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82,3</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13,33%</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87,95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88,08</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12,35%</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93,27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93,40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82,3</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82,4</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13,35%</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88,08</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88,21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12,37%</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93,40</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93,54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82,5</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13,38%</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88,21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88,34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12,39%</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93,54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93,67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82,5</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82,6</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13,40%</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88,34</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88,47</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12,42%</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93,67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93,81</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82,6</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82,7</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13,43%</w:t>
            </w:r>
          </w:p>
        </w:tc>
      </w:tr>
      <w:tr w:rsidR="00F34828" w:rsidRPr="00090249" w:rsidTr="00774887">
        <w:trPr>
          <w:trHeight w:val="240"/>
        </w:trPr>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88,47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88,60</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12,44%</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93,81</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93,94</w:t>
            </w:r>
          </w:p>
        </w:tc>
        <w:tc>
          <w:tcPr>
            <w:tcW w:w="24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82,7</w:t>
            </w:r>
          </w:p>
        </w:tc>
        <w:tc>
          <w:tcPr>
            <w:tcW w:w="241"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82,8</w:t>
            </w:r>
          </w:p>
        </w:tc>
        <w:tc>
          <w:tcPr>
            <w:tcW w:w="88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13,46%</w:t>
            </w:r>
          </w:p>
        </w:tc>
      </w:tr>
      <w:tr w:rsidR="00F34828" w:rsidRPr="00090249" w:rsidTr="00774887">
        <w:trPr>
          <w:trHeight w:val="255"/>
        </w:trPr>
        <w:tc>
          <w:tcPr>
            <w:tcW w:w="246" w:type="dxa"/>
            <w:tcBorders>
              <w:top w:val="nil"/>
              <w:left w:val="single" w:sz="8" w:space="0" w:color="auto"/>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8"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88,60</w:t>
            </w:r>
          </w:p>
        </w:tc>
        <w:tc>
          <w:tcPr>
            <w:tcW w:w="241"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8"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88,73</w:t>
            </w:r>
          </w:p>
        </w:tc>
        <w:tc>
          <w:tcPr>
            <w:tcW w:w="246" w:type="dxa"/>
            <w:tcBorders>
              <w:top w:val="nil"/>
              <w:left w:val="nil"/>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78,8</w:t>
            </w:r>
          </w:p>
        </w:tc>
        <w:tc>
          <w:tcPr>
            <w:tcW w:w="241"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78,9</w:t>
            </w:r>
          </w:p>
        </w:tc>
        <w:tc>
          <w:tcPr>
            <w:tcW w:w="88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31,00%</w:t>
            </w:r>
          </w:p>
        </w:tc>
        <w:tc>
          <w:tcPr>
            <w:tcW w:w="81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12,46%</w:t>
            </w:r>
          </w:p>
        </w:tc>
        <w:tc>
          <w:tcPr>
            <w:tcW w:w="220" w:type="dxa"/>
            <w:tcBorders>
              <w:top w:val="nil"/>
              <w:left w:val="nil"/>
              <w:bottom w:val="nil"/>
              <w:right w:val="nil"/>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46" w:type="dxa"/>
            <w:tcBorders>
              <w:top w:val="nil"/>
              <w:left w:val="single" w:sz="8" w:space="0" w:color="auto"/>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91" w:type="dxa"/>
            <w:tcBorders>
              <w:top w:val="nil"/>
              <w:left w:val="single" w:sz="4" w:space="0" w:color="auto"/>
              <w:bottom w:val="single" w:sz="8"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93,94</w:t>
            </w:r>
          </w:p>
        </w:tc>
        <w:tc>
          <w:tcPr>
            <w:tcW w:w="241"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91" w:type="dxa"/>
            <w:tcBorders>
              <w:top w:val="nil"/>
              <w:left w:val="nil"/>
              <w:bottom w:val="single" w:sz="8"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94,08</w:t>
            </w:r>
          </w:p>
        </w:tc>
        <w:tc>
          <w:tcPr>
            <w:tcW w:w="246" w:type="dxa"/>
            <w:tcBorders>
              <w:top w:val="nil"/>
              <w:left w:val="nil"/>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91" w:type="dxa"/>
            <w:tcBorders>
              <w:top w:val="nil"/>
              <w:left w:val="single" w:sz="4" w:space="0" w:color="auto"/>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82,8</w:t>
            </w:r>
          </w:p>
        </w:tc>
        <w:tc>
          <w:tcPr>
            <w:tcW w:w="241"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9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82,9</w:t>
            </w:r>
          </w:p>
        </w:tc>
        <w:tc>
          <w:tcPr>
            <w:tcW w:w="88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11"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13,48%</w:t>
            </w:r>
          </w:p>
        </w:tc>
      </w:tr>
    </w:tbl>
    <w:p w:rsidR="00F34828" w:rsidRDefault="00F34828" w:rsidP="00F34828"/>
    <w:tbl>
      <w:tblPr>
        <w:tblW w:w="4760" w:type="dxa"/>
        <w:tblInd w:w="52" w:type="dxa"/>
        <w:tblCellMar>
          <w:left w:w="70" w:type="dxa"/>
          <w:right w:w="70" w:type="dxa"/>
        </w:tblCellMar>
        <w:tblLook w:val="04A0" w:firstRow="1" w:lastRow="0" w:firstColumn="1" w:lastColumn="0" w:noHBand="0" w:noVBand="1"/>
      </w:tblPr>
      <w:tblGrid>
        <w:gridCol w:w="246"/>
        <w:gridCol w:w="591"/>
        <w:gridCol w:w="241"/>
        <w:gridCol w:w="591"/>
        <w:gridCol w:w="246"/>
        <w:gridCol w:w="491"/>
        <w:gridCol w:w="241"/>
        <w:gridCol w:w="491"/>
        <w:gridCol w:w="881"/>
        <w:gridCol w:w="811"/>
      </w:tblGrid>
      <w:tr w:rsidR="00F34828" w:rsidRPr="00090249" w:rsidTr="00774887">
        <w:trPr>
          <w:trHeight w:val="1393"/>
        </w:trPr>
        <w:tc>
          <w:tcPr>
            <w:tcW w:w="4760"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F34828" w:rsidRPr="00090249" w:rsidRDefault="00507258" w:rsidP="00774887">
            <w:pPr>
              <w:jc w:val="both"/>
              <w:rPr>
                <w:rFonts w:ascii="Arial" w:hAnsi="Arial" w:cs="Arial"/>
                <w:sz w:val="18"/>
                <w:szCs w:val="18"/>
                <w:lang w:eastAsia="es-CL"/>
              </w:rPr>
            </w:pPr>
            <w:r>
              <w:rPr>
                <w:rFonts w:ascii="Arial" w:hAnsi="Arial" w:cs="Arial"/>
                <w:sz w:val="18"/>
                <w:szCs w:val="18"/>
                <w:lang w:eastAsia="es-CL"/>
              </w:rPr>
              <w:t xml:space="preserve">A los </w:t>
            </w:r>
            <w:r w:rsidRPr="00090249">
              <w:rPr>
                <w:rFonts w:ascii="Arial" w:hAnsi="Arial" w:cs="Arial"/>
                <w:sz w:val="18"/>
                <w:szCs w:val="18"/>
                <w:lang w:eastAsia="es-CL"/>
              </w:rPr>
              <w:t>E</w:t>
            </w:r>
            <w:r>
              <w:rPr>
                <w:rFonts w:ascii="Arial" w:hAnsi="Arial" w:cs="Arial"/>
                <w:sz w:val="18"/>
                <w:szCs w:val="18"/>
                <w:lang w:eastAsia="es-CL"/>
              </w:rPr>
              <w:t>M</w:t>
            </w:r>
            <w:r w:rsidRPr="00090249">
              <w:rPr>
                <w:rFonts w:ascii="Arial" w:hAnsi="Arial" w:cs="Arial"/>
                <w:sz w:val="18"/>
                <w:szCs w:val="18"/>
                <w:lang w:eastAsia="es-CL"/>
              </w:rPr>
              <w:t xml:space="preserve"> cuyas ventas anuales determinadas conforme a la letra d) del </w:t>
            </w:r>
            <w:r>
              <w:rPr>
                <w:rFonts w:ascii="Arial" w:hAnsi="Arial" w:cs="Arial"/>
                <w:sz w:val="18"/>
                <w:szCs w:val="18"/>
                <w:lang w:eastAsia="es-CL"/>
              </w:rPr>
              <w:t>inciso 3°</w:t>
            </w:r>
            <w:r w:rsidRPr="00090249">
              <w:rPr>
                <w:rFonts w:ascii="Arial" w:hAnsi="Arial" w:cs="Arial"/>
                <w:sz w:val="18"/>
                <w:szCs w:val="18"/>
                <w:lang w:eastAsia="es-CL"/>
              </w:rPr>
              <w:t xml:space="preserve"> del Art. 64 bis de la LIR, excedan al valor equivalente a 50.000 </w:t>
            </w:r>
            <w:r>
              <w:rPr>
                <w:rFonts w:ascii="Arial" w:hAnsi="Arial" w:cs="Arial"/>
                <w:sz w:val="18"/>
                <w:szCs w:val="18"/>
                <w:lang w:eastAsia="es-CL"/>
              </w:rPr>
              <w:t>TMCF,</w:t>
            </w:r>
            <w:r w:rsidRPr="00090249">
              <w:rPr>
                <w:rFonts w:ascii="Arial" w:hAnsi="Arial" w:cs="Arial"/>
                <w:sz w:val="18"/>
                <w:szCs w:val="18"/>
                <w:lang w:eastAsia="es-CL"/>
              </w:rPr>
              <w:t xml:space="preserve"> se les aplicará una tasa correspondiente al MOM, de acuerdo a las siguientes tablas:</w:t>
            </w:r>
          </w:p>
        </w:tc>
      </w:tr>
      <w:tr w:rsidR="00F34828" w:rsidRPr="00090249" w:rsidTr="00774887">
        <w:trPr>
          <w:trHeight w:val="990"/>
        </w:trPr>
        <w:tc>
          <w:tcPr>
            <w:tcW w:w="1519" w:type="dxa"/>
            <w:gridSpan w:val="4"/>
            <w:tcBorders>
              <w:top w:val="single" w:sz="8" w:space="0" w:color="auto"/>
              <w:left w:val="single" w:sz="8" w:space="0" w:color="auto"/>
              <w:bottom w:val="nil"/>
              <w:right w:val="single" w:sz="8" w:space="0" w:color="000000"/>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1: Margen operacional minero (antes de rebajar IEAM)</w:t>
            </w:r>
          </w:p>
        </w:tc>
        <w:tc>
          <w:tcPr>
            <w:tcW w:w="1502" w:type="dxa"/>
            <w:gridSpan w:val="4"/>
            <w:tcBorders>
              <w:top w:val="single" w:sz="8" w:space="0" w:color="auto"/>
              <w:left w:val="nil"/>
              <w:bottom w:val="nil"/>
              <w:right w:val="single" w:sz="8" w:space="0" w:color="000000"/>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2: Margen operacional minero</w:t>
            </w:r>
          </w:p>
        </w:tc>
        <w:tc>
          <w:tcPr>
            <w:tcW w:w="902"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3: Tasa  Marginal</w:t>
            </w:r>
          </w:p>
        </w:tc>
        <w:tc>
          <w:tcPr>
            <w:tcW w:w="837" w:type="dxa"/>
            <w:tcBorders>
              <w:top w:val="nil"/>
              <w:left w:val="nil"/>
              <w:bottom w:val="nil"/>
              <w:right w:val="single" w:sz="8" w:space="0" w:color="auto"/>
            </w:tcBorders>
            <w:shd w:val="clear" w:color="000000" w:fill="969696"/>
            <w:hideMark/>
          </w:tcPr>
          <w:p w:rsidR="00F34828" w:rsidRPr="00090249" w:rsidRDefault="00F34828" w:rsidP="00774887">
            <w:pPr>
              <w:jc w:val="center"/>
              <w:rPr>
                <w:rFonts w:ascii="Arial" w:hAnsi="Arial" w:cs="Arial"/>
                <w:b/>
                <w:bCs/>
                <w:sz w:val="18"/>
                <w:szCs w:val="18"/>
                <w:lang w:eastAsia="es-CL"/>
              </w:rPr>
            </w:pPr>
            <w:r w:rsidRPr="00090249">
              <w:rPr>
                <w:rFonts w:ascii="Arial" w:hAnsi="Arial" w:cs="Arial"/>
                <w:b/>
                <w:bCs/>
                <w:sz w:val="18"/>
                <w:szCs w:val="18"/>
                <w:lang w:eastAsia="es-CL"/>
              </w:rPr>
              <w:t>Tabla 4: Tasa efectiva</w:t>
            </w:r>
          </w:p>
        </w:tc>
      </w:tr>
      <w:tr w:rsidR="00F34828" w:rsidRPr="00090249" w:rsidTr="00774887">
        <w:trPr>
          <w:trHeight w:val="240"/>
        </w:trPr>
        <w:tc>
          <w:tcPr>
            <w:tcW w:w="273" w:type="dxa"/>
            <w:tcBorders>
              <w:top w:val="single" w:sz="4" w:space="0" w:color="auto"/>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94,08</w:t>
            </w:r>
          </w:p>
        </w:tc>
        <w:tc>
          <w:tcPr>
            <w:tcW w:w="270" w:type="dxa"/>
            <w:tcBorders>
              <w:top w:val="single" w:sz="4"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88" w:type="dxa"/>
            <w:tcBorders>
              <w:top w:val="single" w:sz="4" w:space="0" w:color="auto"/>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94,21</w:t>
            </w:r>
          </w:p>
        </w:tc>
        <w:tc>
          <w:tcPr>
            <w:tcW w:w="236" w:type="dxa"/>
            <w:tcBorders>
              <w:top w:val="single" w:sz="4" w:space="0" w:color="auto"/>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82,9</w:t>
            </w:r>
          </w:p>
        </w:tc>
        <w:tc>
          <w:tcPr>
            <w:tcW w:w="236" w:type="dxa"/>
            <w:tcBorders>
              <w:top w:val="single" w:sz="4" w:space="0" w:color="auto"/>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15"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83,0</w:t>
            </w:r>
          </w:p>
        </w:tc>
        <w:tc>
          <w:tcPr>
            <w:tcW w:w="902"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37" w:type="dxa"/>
            <w:tcBorders>
              <w:top w:val="single" w:sz="4" w:space="0" w:color="auto"/>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13,51%</w:t>
            </w:r>
          </w:p>
        </w:tc>
      </w:tr>
      <w:tr w:rsidR="00F34828" w:rsidRPr="00090249" w:rsidTr="00774887">
        <w:trPr>
          <w:trHeight w:val="240"/>
        </w:trPr>
        <w:tc>
          <w:tcPr>
            <w:tcW w:w="273"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88"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94,21</w:t>
            </w:r>
          </w:p>
        </w:tc>
        <w:tc>
          <w:tcPr>
            <w:tcW w:w="270"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88"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94,34</w:t>
            </w:r>
          </w:p>
        </w:tc>
        <w:tc>
          <w:tcPr>
            <w:tcW w:w="23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15"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83,0</w:t>
            </w:r>
          </w:p>
        </w:tc>
        <w:tc>
          <w:tcPr>
            <w:tcW w:w="236"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15"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83,1</w:t>
            </w:r>
          </w:p>
        </w:tc>
        <w:tc>
          <w:tcPr>
            <w:tcW w:w="902"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37"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13,53%</w:t>
            </w:r>
          </w:p>
        </w:tc>
      </w:tr>
      <w:tr w:rsidR="00F34828" w:rsidRPr="00090249" w:rsidTr="00774887">
        <w:trPr>
          <w:trHeight w:val="240"/>
        </w:trPr>
        <w:tc>
          <w:tcPr>
            <w:tcW w:w="273"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88"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94,34</w:t>
            </w:r>
          </w:p>
        </w:tc>
        <w:tc>
          <w:tcPr>
            <w:tcW w:w="270"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88"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94,48</w:t>
            </w:r>
          </w:p>
        </w:tc>
        <w:tc>
          <w:tcPr>
            <w:tcW w:w="23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15"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83,1</w:t>
            </w:r>
          </w:p>
        </w:tc>
        <w:tc>
          <w:tcPr>
            <w:tcW w:w="236"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15"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83,2</w:t>
            </w:r>
          </w:p>
        </w:tc>
        <w:tc>
          <w:tcPr>
            <w:tcW w:w="902"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37"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13,56%</w:t>
            </w:r>
          </w:p>
        </w:tc>
      </w:tr>
      <w:tr w:rsidR="00F34828" w:rsidRPr="00090249" w:rsidTr="00774887">
        <w:trPr>
          <w:trHeight w:val="240"/>
        </w:trPr>
        <w:tc>
          <w:tcPr>
            <w:tcW w:w="273"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88"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94,48</w:t>
            </w:r>
          </w:p>
        </w:tc>
        <w:tc>
          <w:tcPr>
            <w:tcW w:w="270"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88"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94,61</w:t>
            </w:r>
          </w:p>
        </w:tc>
        <w:tc>
          <w:tcPr>
            <w:tcW w:w="23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15"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83,2</w:t>
            </w:r>
          </w:p>
        </w:tc>
        <w:tc>
          <w:tcPr>
            <w:tcW w:w="236"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15"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83,3</w:t>
            </w:r>
          </w:p>
        </w:tc>
        <w:tc>
          <w:tcPr>
            <w:tcW w:w="902"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37"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13,58%</w:t>
            </w:r>
          </w:p>
        </w:tc>
      </w:tr>
      <w:tr w:rsidR="00F34828" w:rsidRPr="00090249" w:rsidTr="00774887">
        <w:trPr>
          <w:trHeight w:val="240"/>
        </w:trPr>
        <w:tc>
          <w:tcPr>
            <w:tcW w:w="273"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88"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94,61</w:t>
            </w:r>
          </w:p>
        </w:tc>
        <w:tc>
          <w:tcPr>
            <w:tcW w:w="270"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88"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94,75</w:t>
            </w:r>
          </w:p>
        </w:tc>
        <w:tc>
          <w:tcPr>
            <w:tcW w:w="23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15"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83,3</w:t>
            </w:r>
          </w:p>
        </w:tc>
        <w:tc>
          <w:tcPr>
            <w:tcW w:w="236"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15"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83,4</w:t>
            </w:r>
          </w:p>
        </w:tc>
        <w:tc>
          <w:tcPr>
            <w:tcW w:w="902"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37"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13,61%</w:t>
            </w:r>
          </w:p>
        </w:tc>
      </w:tr>
      <w:tr w:rsidR="00F34828" w:rsidRPr="00090249" w:rsidTr="00774887">
        <w:trPr>
          <w:trHeight w:val="240"/>
        </w:trPr>
        <w:tc>
          <w:tcPr>
            <w:tcW w:w="273"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88"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94,75</w:t>
            </w:r>
          </w:p>
        </w:tc>
        <w:tc>
          <w:tcPr>
            <w:tcW w:w="270"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88"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94,88</w:t>
            </w:r>
          </w:p>
        </w:tc>
        <w:tc>
          <w:tcPr>
            <w:tcW w:w="23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15"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83,4</w:t>
            </w:r>
          </w:p>
        </w:tc>
        <w:tc>
          <w:tcPr>
            <w:tcW w:w="236"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15"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83,5</w:t>
            </w:r>
          </w:p>
        </w:tc>
        <w:tc>
          <w:tcPr>
            <w:tcW w:w="902"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37"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13,63%</w:t>
            </w:r>
          </w:p>
        </w:tc>
      </w:tr>
      <w:tr w:rsidR="00F34828" w:rsidRPr="00090249" w:rsidTr="00774887">
        <w:trPr>
          <w:trHeight w:val="240"/>
        </w:trPr>
        <w:tc>
          <w:tcPr>
            <w:tcW w:w="273"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88"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94,88</w:t>
            </w:r>
          </w:p>
        </w:tc>
        <w:tc>
          <w:tcPr>
            <w:tcW w:w="270"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88"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95,02</w:t>
            </w:r>
          </w:p>
        </w:tc>
        <w:tc>
          <w:tcPr>
            <w:tcW w:w="23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15"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83,5</w:t>
            </w:r>
          </w:p>
        </w:tc>
        <w:tc>
          <w:tcPr>
            <w:tcW w:w="236"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15"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83,6</w:t>
            </w:r>
          </w:p>
        </w:tc>
        <w:tc>
          <w:tcPr>
            <w:tcW w:w="902"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37"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13,66%</w:t>
            </w:r>
          </w:p>
        </w:tc>
      </w:tr>
      <w:tr w:rsidR="00F34828" w:rsidRPr="00090249" w:rsidTr="00774887">
        <w:trPr>
          <w:trHeight w:val="240"/>
        </w:trPr>
        <w:tc>
          <w:tcPr>
            <w:tcW w:w="273"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88"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95,02</w:t>
            </w:r>
          </w:p>
        </w:tc>
        <w:tc>
          <w:tcPr>
            <w:tcW w:w="270"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88"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95,15</w:t>
            </w:r>
          </w:p>
        </w:tc>
        <w:tc>
          <w:tcPr>
            <w:tcW w:w="23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15"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83,6</w:t>
            </w:r>
          </w:p>
        </w:tc>
        <w:tc>
          <w:tcPr>
            <w:tcW w:w="236"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15"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83,7</w:t>
            </w:r>
          </w:p>
        </w:tc>
        <w:tc>
          <w:tcPr>
            <w:tcW w:w="902"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37"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13,68%</w:t>
            </w:r>
          </w:p>
        </w:tc>
      </w:tr>
      <w:tr w:rsidR="00F34828" w:rsidRPr="00090249" w:rsidTr="00774887">
        <w:trPr>
          <w:trHeight w:val="240"/>
        </w:trPr>
        <w:tc>
          <w:tcPr>
            <w:tcW w:w="273"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88"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95,15</w:t>
            </w:r>
          </w:p>
        </w:tc>
        <w:tc>
          <w:tcPr>
            <w:tcW w:w="270"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88"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95,29</w:t>
            </w:r>
          </w:p>
        </w:tc>
        <w:tc>
          <w:tcPr>
            <w:tcW w:w="23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15"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83,7</w:t>
            </w:r>
          </w:p>
        </w:tc>
        <w:tc>
          <w:tcPr>
            <w:tcW w:w="236"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15"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83,8</w:t>
            </w:r>
          </w:p>
        </w:tc>
        <w:tc>
          <w:tcPr>
            <w:tcW w:w="902"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37"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13,71%</w:t>
            </w:r>
          </w:p>
        </w:tc>
      </w:tr>
      <w:tr w:rsidR="00F34828" w:rsidRPr="00090249" w:rsidTr="00774887">
        <w:trPr>
          <w:trHeight w:val="240"/>
        </w:trPr>
        <w:tc>
          <w:tcPr>
            <w:tcW w:w="273"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88"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95,29</w:t>
            </w:r>
          </w:p>
        </w:tc>
        <w:tc>
          <w:tcPr>
            <w:tcW w:w="270"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88"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95,42</w:t>
            </w:r>
          </w:p>
        </w:tc>
        <w:tc>
          <w:tcPr>
            <w:tcW w:w="23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15"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83,8</w:t>
            </w:r>
          </w:p>
        </w:tc>
        <w:tc>
          <w:tcPr>
            <w:tcW w:w="236"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15"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83,9</w:t>
            </w:r>
          </w:p>
        </w:tc>
        <w:tc>
          <w:tcPr>
            <w:tcW w:w="902"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37"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13,73%</w:t>
            </w:r>
          </w:p>
        </w:tc>
      </w:tr>
      <w:tr w:rsidR="00F34828" w:rsidRPr="00090249" w:rsidTr="00774887">
        <w:trPr>
          <w:trHeight w:val="240"/>
        </w:trPr>
        <w:tc>
          <w:tcPr>
            <w:tcW w:w="273"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88"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95,42</w:t>
            </w:r>
          </w:p>
        </w:tc>
        <w:tc>
          <w:tcPr>
            <w:tcW w:w="270"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88"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95,56</w:t>
            </w:r>
          </w:p>
        </w:tc>
        <w:tc>
          <w:tcPr>
            <w:tcW w:w="23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15"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83,9</w:t>
            </w:r>
          </w:p>
        </w:tc>
        <w:tc>
          <w:tcPr>
            <w:tcW w:w="236"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15"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84,0</w:t>
            </w:r>
          </w:p>
        </w:tc>
        <w:tc>
          <w:tcPr>
            <w:tcW w:w="902"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37"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13,76%</w:t>
            </w:r>
          </w:p>
        </w:tc>
      </w:tr>
      <w:tr w:rsidR="00F34828" w:rsidRPr="00090249" w:rsidTr="00774887">
        <w:trPr>
          <w:trHeight w:val="240"/>
        </w:trPr>
        <w:tc>
          <w:tcPr>
            <w:tcW w:w="273"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88"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95,56</w:t>
            </w:r>
          </w:p>
        </w:tc>
        <w:tc>
          <w:tcPr>
            <w:tcW w:w="270"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88"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95,69</w:t>
            </w:r>
          </w:p>
        </w:tc>
        <w:tc>
          <w:tcPr>
            <w:tcW w:w="23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15"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84,0</w:t>
            </w:r>
          </w:p>
        </w:tc>
        <w:tc>
          <w:tcPr>
            <w:tcW w:w="236"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15"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84,1</w:t>
            </w:r>
          </w:p>
        </w:tc>
        <w:tc>
          <w:tcPr>
            <w:tcW w:w="902"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37"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13,78%</w:t>
            </w:r>
          </w:p>
        </w:tc>
      </w:tr>
      <w:tr w:rsidR="00F34828" w:rsidRPr="00090249" w:rsidTr="00774887">
        <w:trPr>
          <w:trHeight w:val="240"/>
        </w:trPr>
        <w:tc>
          <w:tcPr>
            <w:tcW w:w="273"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88"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95,69</w:t>
            </w:r>
          </w:p>
        </w:tc>
        <w:tc>
          <w:tcPr>
            <w:tcW w:w="270"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88"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95,82</w:t>
            </w:r>
          </w:p>
        </w:tc>
        <w:tc>
          <w:tcPr>
            <w:tcW w:w="23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15"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84,1</w:t>
            </w:r>
          </w:p>
        </w:tc>
        <w:tc>
          <w:tcPr>
            <w:tcW w:w="236"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15"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84,2</w:t>
            </w:r>
          </w:p>
        </w:tc>
        <w:tc>
          <w:tcPr>
            <w:tcW w:w="902"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37"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13,81%</w:t>
            </w:r>
          </w:p>
        </w:tc>
      </w:tr>
      <w:tr w:rsidR="00F34828" w:rsidRPr="00090249" w:rsidTr="00774887">
        <w:trPr>
          <w:trHeight w:val="240"/>
        </w:trPr>
        <w:tc>
          <w:tcPr>
            <w:tcW w:w="273"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88"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95,82</w:t>
            </w:r>
          </w:p>
        </w:tc>
        <w:tc>
          <w:tcPr>
            <w:tcW w:w="270"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88"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95,96</w:t>
            </w:r>
          </w:p>
        </w:tc>
        <w:tc>
          <w:tcPr>
            <w:tcW w:w="23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15"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84,2</w:t>
            </w:r>
          </w:p>
        </w:tc>
        <w:tc>
          <w:tcPr>
            <w:tcW w:w="236"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15"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84,3</w:t>
            </w:r>
          </w:p>
        </w:tc>
        <w:tc>
          <w:tcPr>
            <w:tcW w:w="902"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37"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13,83%</w:t>
            </w:r>
          </w:p>
        </w:tc>
      </w:tr>
      <w:tr w:rsidR="00F34828" w:rsidRPr="00090249" w:rsidTr="00774887">
        <w:trPr>
          <w:trHeight w:val="240"/>
        </w:trPr>
        <w:tc>
          <w:tcPr>
            <w:tcW w:w="273"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88"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95,96</w:t>
            </w:r>
          </w:p>
        </w:tc>
        <w:tc>
          <w:tcPr>
            <w:tcW w:w="270"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88"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96,09</w:t>
            </w:r>
          </w:p>
        </w:tc>
        <w:tc>
          <w:tcPr>
            <w:tcW w:w="23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15"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84,3</w:t>
            </w:r>
          </w:p>
        </w:tc>
        <w:tc>
          <w:tcPr>
            <w:tcW w:w="236"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15"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84,4</w:t>
            </w:r>
          </w:p>
        </w:tc>
        <w:tc>
          <w:tcPr>
            <w:tcW w:w="902"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37"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13,85%</w:t>
            </w:r>
          </w:p>
        </w:tc>
      </w:tr>
      <w:tr w:rsidR="00F34828" w:rsidRPr="00090249" w:rsidTr="00774887">
        <w:trPr>
          <w:trHeight w:val="240"/>
        </w:trPr>
        <w:tc>
          <w:tcPr>
            <w:tcW w:w="273"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88"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96,09</w:t>
            </w:r>
          </w:p>
        </w:tc>
        <w:tc>
          <w:tcPr>
            <w:tcW w:w="270"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88"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96,23</w:t>
            </w:r>
          </w:p>
        </w:tc>
        <w:tc>
          <w:tcPr>
            <w:tcW w:w="23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15"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84,4</w:t>
            </w:r>
          </w:p>
        </w:tc>
        <w:tc>
          <w:tcPr>
            <w:tcW w:w="236"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15"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84,5</w:t>
            </w:r>
          </w:p>
        </w:tc>
        <w:tc>
          <w:tcPr>
            <w:tcW w:w="902"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37"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13,88%</w:t>
            </w:r>
          </w:p>
        </w:tc>
      </w:tr>
      <w:tr w:rsidR="00F34828" w:rsidRPr="00090249" w:rsidTr="00774887">
        <w:trPr>
          <w:trHeight w:val="240"/>
        </w:trPr>
        <w:tc>
          <w:tcPr>
            <w:tcW w:w="273"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88"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96,23</w:t>
            </w:r>
          </w:p>
        </w:tc>
        <w:tc>
          <w:tcPr>
            <w:tcW w:w="270"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88"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96,36</w:t>
            </w:r>
          </w:p>
        </w:tc>
        <w:tc>
          <w:tcPr>
            <w:tcW w:w="23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15"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84,5</w:t>
            </w:r>
          </w:p>
        </w:tc>
        <w:tc>
          <w:tcPr>
            <w:tcW w:w="236"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15"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84,6</w:t>
            </w:r>
          </w:p>
        </w:tc>
        <w:tc>
          <w:tcPr>
            <w:tcW w:w="902"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37"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13,90%</w:t>
            </w:r>
          </w:p>
        </w:tc>
      </w:tr>
      <w:tr w:rsidR="00F34828" w:rsidRPr="00090249" w:rsidTr="00774887">
        <w:trPr>
          <w:trHeight w:val="240"/>
        </w:trPr>
        <w:tc>
          <w:tcPr>
            <w:tcW w:w="273"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88"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96,36</w:t>
            </w:r>
          </w:p>
        </w:tc>
        <w:tc>
          <w:tcPr>
            <w:tcW w:w="270"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88"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96,50</w:t>
            </w:r>
          </w:p>
        </w:tc>
        <w:tc>
          <w:tcPr>
            <w:tcW w:w="23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15"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84,6</w:t>
            </w:r>
          </w:p>
        </w:tc>
        <w:tc>
          <w:tcPr>
            <w:tcW w:w="236"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15"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84,7</w:t>
            </w:r>
          </w:p>
        </w:tc>
        <w:tc>
          <w:tcPr>
            <w:tcW w:w="902"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37"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13,93%</w:t>
            </w:r>
          </w:p>
        </w:tc>
      </w:tr>
      <w:tr w:rsidR="00F34828" w:rsidRPr="00090249" w:rsidTr="00774887">
        <w:trPr>
          <w:trHeight w:val="240"/>
        </w:trPr>
        <w:tc>
          <w:tcPr>
            <w:tcW w:w="273"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88"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96,50</w:t>
            </w:r>
          </w:p>
        </w:tc>
        <w:tc>
          <w:tcPr>
            <w:tcW w:w="270"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88"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96,63</w:t>
            </w:r>
          </w:p>
        </w:tc>
        <w:tc>
          <w:tcPr>
            <w:tcW w:w="23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15"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84,7</w:t>
            </w:r>
          </w:p>
        </w:tc>
        <w:tc>
          <w:tcPr>
            <w:tcW w:w="236"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15"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84,8</w:t>
            </w:r>
          </w:p>
        </w:tc>
        <w:tc>
          <w:tcPr>
            <w:tcW w:w="902"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37"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13,95%</w:t>
            </w:r>
          </w:p>
        </w:tc>
      </w:tr>
      <w:tr w:rsidR="00F34828" w:rsidRPr="00090249" w:rsidTr="00774887">
        <w:trPr>
          <w:trHeight w:val="240"/>
        </w:trPr>
        <w:tc>
          <w:tcPr>
            <w:tcW w:w="273"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88"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96,63</w:t>
            </w:r>
          </w:p>
        </w:tc>
        <w:tc>
          <w:tcPr>
            <w:tcW w:w="270"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88"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96,77</w:t>
            </w:r>
          </w:p>
        </w:tc>
        <w:tc>
          <w:tcPr>
            <w:tcW w:w="23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15"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84,8</w:t>
            </w:r>
          </w:p>
        </w:tc>
        <w:tc>
          <w:tcPr>
            <w:tcW w:w="236"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15"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84,9</w:t>
            </w:r>
          </w:p>
        </w:tc>
        <w:tc>
          <w:tcPr>
            <w:tcW w:w="902"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37"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13,98%</w:t>
            </w:r>
          </w:p>
        </w:tc>
      </w:tr>
      <w:tr w:rsidR="00F34828" w:rsidRPr="00090249" w:rsidTr="00774887">
        <w:trPr>
          <w:trHeight w:val="240"/>
        </w:trPr>
        <w:tc>
          <w:tcPr>
            <w:tcW w:w="273" w:type="dxa"/>
            <w:tcBorders>
              <w:top w:val="nil"/>
              <w:left w:val="single" w:sz="8" w:space="0" w:color="auto"/>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88" w:type="dxa"/>
            <w:tcBorders>
              <w:top w:val="nil"/>
              <w:left w:val="single" w:sz="4" w:space="0" w:color="auto"/>
              <w:bottom w:val="single" w:sz="4"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96,77</w:t>
            </w:r>
          </w:p>
        </w:tc>
        <w:tc>
          <w:tcPr>
            <w:tcW w:w="270"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488" w:type="dxa"/>
            <w:tcBorders>
              <w:top w:val="nil"/>
              <w:left w:val="nil"/>
              <w:bottom w:val="single" w:sz="4"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96,90</w:t>
            </w:r>
          </w:p>
        </w:tc>
        <w:tc>
          <w:tcPr>
            <w:tcW w:w="236" w:type="dxa"/>
            <w:tcBorders>
              <w:top w:val="nil"/>
              <w:left w:val="nil"/>
              <w:bottom w:val="single" w:sz="4"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15" w:type="dxa"/>
            <w:tcBorders>
              <w:top w:val="nil"/>
              <w:left w:val="single" w:sz="4" w:space="0" w:color="auto"/>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84,9</w:t>
            </w:r>
          </w:p>
        </w:tc>
        <w:tc>
          <w:tcPr>
            <w:tcW w:w="236" w:type="dxa"/>
            <w:tcBorders>
              <w:top w:val="nil"/>
              <w:left w:val="nil"/>
              <w:bottom w:val="single" w:sz="4"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a</w:t>
            </w:r>
          </w:p>
        </w:tc>
        <w:tc>
          <w:tcPr>
            <w:tcW w:w="515"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85,0</w:t>
            </w:r>
          </w:p>
        </w:tc>
        <w:tc>
          <w:tcPr>
            <w:tcW w:w="902"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34,50%</w:t>
            </w:r>
          </w:p>
        </w:tc>
        <w:tc>
          <w:tcPr>
            <w:tcW w:w="837" w:type="dxa"/>
            <w:tcBorders>
              <w:top w:val="nil"/>
              <w:left w:val="nil"/>
              <w:bottom w:val="single" w:sz="4"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14,00%</w:t>
            </w:r>
          </w:p>
        </w:tc>
      </w:tr>
      <w:tr w:rsidR="00F34828" w:rsidRPr="00090249" w:rsidTr="00774887">
        <w:trPr>
          <w:trHeight w:val="255"/>
        </w:trPr>
        <w:tc>
          <w:tcPr>
            <w:tcW w:w="273" w:type="dxa"/>
            <w:tcBorders>
              <w:top w:val="nil"/>
              <w:left w:val="single" w:sz="8" w:space="0" w:color="auto"/>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488" w:type="dxa"/>
            <w:tcBorders>
              <w:top w:val="nil"/>
              <w:left w:val="single" w:sz="4" w:space="0" w:color="auto"/>
              <w:bottom w:val="single" w:sz="8" w:space="0" w:color="auto"/>
              <w:right w:val="single" w:sz="4"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96,90</w:t>
            </w:r>
          </w:p>
        </w:tc>
        <w:tc>
          <w:tcPr>
            <w:tcW w:w="270"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488" w:type="dxa"/>
            <w:tcBorders>
              <w:top w:val="nil"/>
              <w:left w:val="nil"/>
              <w:bottom w:val="single" w:sz="8" w:space="0" w:color="auto"/>
              <w:right w:val="single" w:sz="8" w:space="0" w:color="auto"/>
            </w:tcBorders>
            <w:shd w:val="clear" w:color="000000" w:fill="FFFFFF"/>
            <w:noWrap/>
            <w:vAlign w:val="bottom"/>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236" w:type="dxa"/>
            <w:tcBorders>
              <w:top w:val="nil"/>
              <w:left w:val="nil"/>
              <w:bottom w:val="single" w:sz="8" w:space="0" w:color="auto"/>
              <w:right w:val="nil"/>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w:t>
            </w:r>
          </w:p>
        </w:tc>
        <w:tc>
          <w:tcPr>
            <w:tcW w:w="515" w:type="dxa"/>
            <w:tcBorders>
              <w:top w:val="nil"/>
              <w:left w:val="single" w:sz="4" w:space="0" w:color="auto"/>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85</w:t>
            </w:r>
          </w:p>
        </w:tc>
        <w:tc>
          <w:tcPr>
            <w:tcW w:w="236" w:type="dxa"/>
            <w:tcBorders>
              <w:top w:val="nil"/>
              <w:left w:val="nil"/>
              <w:bottom w:val="single" w:sz="8" w:space="0" w:color="auto"/>
              <w:right w:val="single" w:sz="4"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515"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 </w:t>
            </w:r>
          </w:p>
        </w:tc>
        <w:tc>
          <w:tcPr>
            <w:tcW w:w="902"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14,00%</w:t>
            </w:r>
          </w:p>
        </w:tc>
        <w:tc>
          <w:tcPr>
            <w:tcW w:w="837" w:type="dxa"/>
            <w:tcBorders>
              <w:top w:val="nil"/>
              <w:left w:val="nil"/>
              <w:bottom w:val="single" w:sz="8" w:space="0" w:color="auto"/>
              <w:right w:val="single" w:sz="8" w:space="0" w:color="auto"/>
            </w:tcBorders>
            <w:shd w:val="clear" w:color="000000" w:fill="FFFFFF"/>
            <w:hideMark/>
          </w:tcPr>
          <w:p w:rsidR="00F34828" w:rsidRPr="00090249" w:rsidRDefault="00F34828" w:rsidP="00774887">
            <w:pPr>
              <w:jc w:val="center"/>
              <w:rPr>
                <w:rFonts w:ascii="Arial" w:hAnsi="Arial" w:cs="Arial"/>
                <w:sz w:val="18"/>
                <w:szCs w:val="18"/>
                <w:lang w:eastAsia="es-CL"/>
              </w:rPr>
            </w:pPr>
            <w:r w:rsidRPr="00090249">
              <w:rPr>
                <w:rFonts w:ascii="Arial" w:hAnsi="Arial" w:cs="Arial"/>
                <w:sz w:val="18"/>
                <w:szCs w:val="18"/>
                <w:lang w:eastAsia="es-CL"/>
              </w:rPr>
              <w:t>14,00%</w:t>
            </w:r>
          </w:p>
        </w:tc>
      </w:tr>
    </w:tbl>
    <w:p w:rsidR="00F34828" w:rsidRDefault="00F34828" w:rsidP="00F34828"/>
    <w:p w:rsidR="00F34828" w:rsidRDefault="00F34828" w:rsidP="00F34828"/>
    <w:p w:rsidR="00F34828" w:rsidRDefault="00F34828" w:rsidP="00F34828"/>
    <w:p w:rsidR="00F34828" w:rsidRDefault="00F34828" w:rsidP="00F34828"/>
    <w:p w:rsidR="00F34828" w:rsidRDefault="00F34828" w:rsidP="00F34828"/>
    <w:p w:rsidR="00F34828" w:rsidRDefault="00F34828" w:rsidP="00F34828"/>
    <w:p w:rsidR="00F34828" w:rsidRDefault="00F34828" w:rsidP="00F34828"/>
    <w:p w:rsidR="00F34828" w:rsidRDefault="00F34828" w:rsidP="00F34828"/>
    <w:p w:rsidR="00F34828" w:rsidRDefault="00F34828" w:rsidP="00F34828"/>
    <w:p w:rsidR="00F34828" w:rsidRDefault="00F34828" w:rsidP="00F34828"/>
    <w:p w:rsidR="00F34828" w:rsidRDefault="00F34828" w:rsidP="00F34828"/>
    <w:p w:rsidR="00F34828" w:rsidRDefault="00F34828" w:rsidP="00F34828"/>
    <w:p w:rsidR="00F34828" w:rsidRDefault="00F34828" w:rsidP="00F34828"/>
    <w:p w:rsidR="00F34828" w:rsidRDefault="00F34828" w:rsidP="00F34828"/>
    <w:p w:rsidR="00F34828" w:rsidRDefault="00F34828" w:rsidP="00F34828"/>
    <w:p w:rsidR="00F34828" w:rsidRDefault="00F34828" w:rsidP="00F34828"/>
    <w:p w:rsidR="00F34828" w:rsidRDefault="00F34828" w:rsidP="00F34828"/>
    <w:p w:rsidR="00F34828" w:rsidRDefault="00F34828" w:rsidP="00F34828"/>
    <w:p w:rsidR="00F34828" w:rsidRDefault="00F34828" w:rsidP="00F34828"/>
    <w:p w:rsidR="00F34828" w:rsidRDefault="00F34828" w:rsidP="00F34828"/>
    <w:p w:rsidR="00F34828" w:rsidRDefault="00F34828" w:rsidP="00F34828"/>
    <w:tbl>
      <w:tblPr>
        <w:tblW w:w="11235" w:type="dxa"/>
        <w:tblInd w:w="-1190" w:type="dxa"/>
        <w:tblCellMar>
          <w:left w:w="70" w:type="dxa"/>
          <w:right w:w="70" w:type="dxa"/>
        </w:tblCellMar>
        <w:tblLook w:val="04A0" w:firstRow="1" w:lastRow="0" w:firstColumn="1" w:lastColumn="0" w:noHBand="0" w:noVBand="1"/>
      </w:tblPr>
      <w:tblGrid>
        <w:gridCol w:w="420"/>
        <w:gridCol w:w="10327"/>
        <w:gridCol w:w="488"/>
      </w:tblGrid>
      <w:tr w:rsidR="00F34828" w:rsidRPr="00E30418" w:rsidTr="00774887">
        <w:trPr>
          <w:trHeight w:val="300"/>
        </w:trPr>
        <w:tc>
          <w:tcPr>
            <w:tcW w:w="420" w:type="dxa"/>
            <w:tcBorders>
              <w:top w:val="nil"/>
              <w:left w:val="nil"/>
              <w:bottom w:val="nil"/>
              <w:right w:val="nil"/>
            </w:tcBorders>
            <w:shd w:val="clear" w:color="000000" w:fill="FFFFFF"/>
            <w:noWrap/>
            <w:vAlign w:val="bottom"/>
            <w:hideMark/>
          </w:tcPr>
          <w:p w:rsidR="00F34828" w:rsidRPr="00E30418" w:rsidRDefault="00F34828" w:rsidP="00774887">
            <w:pPr>
              <w:rPr>
                <w:rFonts w:ascii="Arial" w:hAnsi="Arial" w:cs="Arial"/>
                <w:b/>
                <w:bCs/>
                <w:color w:val="000000"/>
                <w:lang w:eastAsia="es-CL"/>
              </w:rPr>
            </w:pPr>
          </w:p>
        </w:tc>
        <w:tc>
          <w:tcPr>
            <w:tcW w:w="10815" w:type="dxa"/>
            <w:gridSpan w:val="2"/>
            <w:tcBorders>
              <w:top w:val="nil"/>
              <w:left w:val="nil"/>
              <w:bottom w:val="nil"/>
              <w:right w:val="nil"/>
            </w:tcBorders>
            <w:shd w:val="clear" w:color="000000" w:fill="FFFFFF"/>
            <w:noWrap/>
            <w:vAlign w:val="bottom"/>
            <w:hideMark/>
          </w:tcPr>
          <w:p w:rsidR="00F34828" w:rsidRPr="00DF5047" w:rsidRDefault="00F34828" w:rsidP="001C00BA">
            <w:pPr>
              <w:jc w:val="center"/>
              <w:rPr>
                <w:rFonts w:ascii="Arial" w:hAnsi="Arial" w:cs="Arial"/>
                <w:b/>
                <w:bCs/>
                <w:color w:val="000000"/>
                <w:lang w:eastAsia="es-CL"/>
              </w:rPr>
            </w:pPr>
            <w:r w:rsidRPr="00DF5047">
              <w:rPr>
                <w:rFonts w:ascii="Arial" w:hAnsi="Arial" w:cs="Arial"/>
                <w:b/>
                <w:bCs/>
                <w:color w:val="000000"/>
                <w:lang w:eastAsia="es-CL"/>
              </w:rPr>
              <w:t>ANEXO N°6</w:t>
            </w:r>
            <w:r w:rsidR="001C00BA" w:rsidRPr="00DF5047">
              <w:rPr>
                <w:rFonts w:ascii="Arial" w:hAnsi="Arial" w:cs="Arial"/>
                <w:b/>
                <w:bCs/>
                <w:color w:val="000000"/>
                <w:lang w:eastAsia="es-CL"/>
              </w:rPr>
              <w:t xml:space="preserve"> DETERMINACIÓN DE LA</w:t>
            </w:r>
            <w:r w:rsidR="002203F2" w:rsidRPr="00DF5047">
              <w:rPr>
                <w:rFonts w:ascii="Arial" w:hAnsi="Arial" w:cs="Arial"/>
                <w:b/>
                <w:bCs/>
              </w:rPr>
              <w:t xml:space="preserve"> </w:t>
            </w:r>
            <w:r w:rsidR="001C00BA" w:rsidRPr="00DF5047">
              <w:rPr>
                <w:rFonts w:ascii="Arial" w:hAnsi="Arial" w:cs="Arial"/>
                <w:b/>
                <w:bCs/>
              </w:rPr>
              <w:t>RIOM</w:t>
            </w:r>
            <w:r w:rsidR="002203F2" w:rsidRPr="00DF5047">
              <w:rPr>
                <w:rFonts w:ascii="Arial" w:hAnsi="Arial" w:cs="Arial"/>
                <w:b/>
                <w:bCs/>
              </w:rPr>
              <w:t>.</w:t>
            </w:r>
          </w:p>
        </w:tc>
      </w:tr>
      <w:tr w:rsidR="00F34828" w:rsidRPr="00E30418" w:rsidTr="00774887">
        <w:trPr>
          <w:trHeight w:val="180"/>
        </w:trPr>
        <w:tc>
          <w:tcPr>
            <w:tcW w:w="420" w:type="dxa"/>
            <w:tcBorders>
              <w:top w:val="nil"/>
              <w:left w:val="nil"/>
              <w:bottom w:val="nil"/>
              <w:right w:val="nil"/>
            </w:tcBorders>
            <w:shd w:val="clear" w:color="000000" w:fill="FFFFFF"/>
            <w:noWrap/>
            <w:vAlign w:val="bottom"/>
            <w:hideMark/>
          </w:tcPr>
          <w:p w:rsidR="00F34828" w:rsidRPr="00E30418" w:rsidRDefault="00F34828" w:rsidP="00774887">
            <w:pPr>
              <w:rPr>
                <w:rFonts w:ascii="Arial" w:hAnsi="Arial" w:cs="Arial"/>
                <w:b/>
                <w:bCs/>
                <w:color w:val="000000"/>
                <w:lang w:eastAsia="es-CL"/>
              </w:rPr>
            </w:pPr>
            <w:r w:rsidRPr="00E30418">
              <w:rPr>
                <w:rFonts w:ascii="Arial" w:hAnsi="Arial" w:cs="Arial"/>
                <w:b/>
                <w:bCs/>
                <w:color w:val="000000"/>
                <w:lang w:eastAsia="es-CL"/>
              </w:rPr>
              <w:t> </w:t>
            </w:r>
          </w:p>
        </w:tc>
        <w:tc>
          <w:tcPr>
            <w:tcW w:w="10327" w:type="dxa"/>
            <w:tcBorders>
              <w:top w:val="nil"/>
              <w:left w:val="nil"/>
              <w:bottom w:val="nil"/>
              <w:right w:val="nil"/>
            </w:tcBorders>
            <w:shd w:val="clear" w:color="000000" w:fill="FFFFFF"/>
            <w:noWrap/>
            <w:vAlign w:val="bottom"/>
            <w:hideMark/>
          </w:tcPr>
          <w:p w:rsidR="00F34828" w:rsidRPr="00E30418" w:rsidRDefault="00F34828" w:rsidP="00774887">
            <w:pPr>
              <w:rPr>
                <w:rFonts w:ascii="Arial" w:hAnsi="Arial" w:cs="Arial"/>
                <w:b/>
                <w:bCs/>
                <w:color w:val="000000"/>
                <w:lang w:eastAsia="es-CL"/>
              </w:rPr>
            </w:pPr>
            <w:r w:rsidRPr="00E30418">
              <w:rPr>
                <w:rFonts w:ascii="Arial" w:hAnsi="Arial" w:cs="Arial"/>
                <w:b/>
                <w:bCs/>
                <w:color w:val="000000"/>
                <w:lang w:eastAsia="es-CL"/>
              </w:rPr>
              <w:t> </w:t>
            </w:r>
          </w:p>
        </w:tc>
        <w:tc>
          <w:tcPr>
            <w:tcW w:w="488" w:type="dxa"/>
            <w:tcBorders>
              <w:top w:val="nil"/>
              <w:left w:val="nil"/>
              <w:bottom w:val="nil"/>
              <w:right w:val="nil"/>
            </w:tcBorders>
            <w:shd w:val="clear" w:color="000000" w:fill="FFFFFF"/>
            <w:noWrap/>
            <w:vAlign w:val="bottom"/>
            <w:hideMark/>
          </w:tcPr>
          <w:p w:rsidR="00F34828" w:rsidRPr="00E30418" w:rsidRDefault="00F34828" w:rsidP="00774887">
            <w:pPr>
              <w:rPr>
                <w:rFonts w:ascii="Arial" w:hAnsi="Arial" w:cs="Arial"/>
                <w:b/>
                <w:bCs/>
                <w:color w:val="000000"/>
                <w:lang w:eastAsia="es-CL"/>
              </w:rPr>
            </w:pPr>
            <w:r w:rsidRPr="00E30418">
              <w:rPr>
                <w:rFonts w:ascii="Arial" w:hAnsi="Arial" w:cs="Arial"/>
                <w:b/>
                <w:bCs/>
                <w:color w:val="000000"/>
                <w:lang w:eastAsia="es-CL"/>
              </w:rPr>
              <w:t> </w:t>
            </w:r>
          </w:p>
        </w:tc>
      </w:tr>
      <w:tr w:rsidR="00F34828" w:rsidRPr="00E30418" w:rsidTr="00774887">
        <w:trPr>
          <w:trHeight w:val="1080"/>
        </w:trPr>
        <w:tc>
          <w:tcPr>
            <w:tcW w:w="10747" w:type="dxa"/>
            <w:gridSpan w:val="2"/>
            <w:tcBorders>
              <w:top w:val="single" w:sz="8" w:space="0" w:color="auto"/>
              <w:left w:val="single" w:sz="8" w:space="0" w:color="auto"/>
              <w:bottom w:val="single" w:sz="8" w:space="0" w:color="auto"/>
              <w:right w:val="single" w:sz="8" w:space="0" w:color="000000"/>
            </w:tcBorders>
            <w:shd w:val="clear" w:color="000000" w:fill="FFFFFF"/>
            <w:hideMark/>
          </w:tcPr>
          <w:p w:rsidR="00F34828" w:rsidRPr="00E30418" w:rsidRDefault="00F34828" w:rsidP="00507258">
            <w:pPr>
              <w:jc w:val="both"/>
              <w:rPr>
                <w:rFonts w:ascii="Arial" w:hAnsi="Arial" w:cs="Arial"/>
                <w:color w:val="000000"/>
                <w:lang w:eastAsia="es-CL"/>
              </w:rPr>
            </w:pPr>
            <w:r w:rsidRPr="00E30418">
              <w:rPr>
                <w:rFonts w:ascii="Arial" w:hAnsi="Arial" w:cs="Arial"/>
                <w:color w:val="000000"/>
                <w:lang w:eastAsia="es-CL"/>
              </w:rPr>
              <w:t>La RIOM se determinará sobre la base de la R</w:t>
            </w:r>
            <w:r w:rsidR="00507258">
              <w:rPr>
                <w:rFonts w:ascii="Arial" w:hAnsi="Arial" w:cs="Arial"/>
                <w:color w:val="000000"/>
                <w:lang w:eastAsia="es-CL"/>
              </w:rPr>
              <w:t>L</w:t>
            </w:r>
            <w:r w:rsidRPr="00E30418">
              <w:rPr>
                <w:rFonts w:ascii="Arial" w:hAnsi="Arial" w:cs="Arial"/>
                <w:color w:val="000000"/>
                <w:lang w:eastAsia="es-CL"/>
              </w:rPr>
              <w:t>I o Pérdida Tributaria determinada de acuerdo a los artículos 29 al 33 de la LIR, (de la cual debe estar deducido previamente como gasto el IE</w:t>
            </w:r>
            <w:r w:rsidR="00507258">
              <w:rPr>
                <w:rFonts w:ascii="Arial" w:hAnsi="Arial" w:cs="Arial"/>
                <w:color w:val="000000"/>
                <w:lang w:eastAsia="es-CL"/>
              </w:rPr>
              <w:t>M</w:t>
            </w:r>
            <w:r w:rsidRPr="00E30418">
              <w:rPr>
                <w:rFonts w:ascii="Arial" w:hAnsi="Arial" w:cs="Arial"/>
                <w:color w:val="000000"/>
                <w:lang w:eastAsia="es-CL"/>
              </w:rPr>
              <w:t xml:space="preserve">), con los ajustes que se indican a continuación: </w:t>
            </w:r>
          </w:p>
        </w:tc>
        <w:tc>
          <w:tcPr>
            <w:tcW w:w="488" w:type="dxa"/>
            <w:tcBorders>
              <w:top w:val="single" w:sz="8" w:space="0" w:color="auto"/>
              <w:left w:val="nil"/>
              <w:bottom w:val="single" w:sz="8" w:space="0" w:color="auto"/>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w:t>
            </w:r>
          </w:p>
        </w:tc>
      </w:tr>
      <w:tr w:rsidR="00F34828" w:rsidRPr="00E30418" w:rsidTr="00774887">
        <w:trPr>
          <w:trHeight w:val="300"/>
        </w:trPr>
        <w:tc>
          <w:tcPr>
            <w:tcW w:w="420" w:type="dxa"/>
            <w:tcBorders>
              <w:top w:val="nil"/>
              <w:left w:val="nil"/>
              <w:bottom w:val="nil"/>
              <w:right w:val="nil"/>
            </w:tcBorders>
            <w:shd w:val="clear" w:color="000000" w:fill="FFFFFF"/>
            <w:noWrap/>
            <w:vAlign w:val="bottom"/>
            <w:hideMark/>
          </w:tcPr>
          <w:p w:rsidR="00F34828" w:rsidRPr="00E30418" w:rsidRDefault="00F34828" w:rsidP="00774887">
            <w:pPr>
              <w:rPr>
                <w:rFonts w:ascii="Arial" w:hAnsi="Arial" w:cs="Arial"/>
                <w:color w:val="000000"/>
                <w:lang w:eastAsia="es-CL"/>
              </w:rPr>
            </w:pPr>
            <w:r w:rsidRPr="00E30418">
              <w:rPr>
                <w:rFonts w:ascii="Arial" w:hAnsi="Arial" w:cs="Arial"/>
                <w:color w:val="000000"/>
                <w:lang w:eastAsia="es-CL"/>
              </w:rPr>
              <w:t> </w:t>
            </w:r>
          </w:p>
        </w:tc>
        <w:tc>
          <w:tcPr>
            <w:tcW w:w="10815" w:type="dxa"/>
            <w:gridSpan w:val="2"/>
            <w:tcBorders>
              <w:top w:val="nil"/>
              <w:left w:val="nil"/>
              <w:bottom w:val="nil"/>
              <w:right w:val="nil"/>
            </w:tcBorders>
            <w:shd w:val="clear" w:color="000000" w:fill="FFFFFF"/>
            <w:vAlign w:val="bottom"/>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 xml:space="preserve">  </w:t>
            </w:r>
          </w:p>
        </w:tc>
      </w:tr>
      <w:tr w:rsidR="00F34828" w:rsidRPr="00E30418" w:rsidTr="00774887">
        <w:trPr>
          <w:trHeight w:val="570"/>
        </w:trPr>
        <w:tc>
          <w:tcPr>
            <w:tcW w:w="4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1.</w:t>
            </w:r>
          </w:p>
        </w:tc>
        <w:tc>
          <w:tcPr>
            <w:tcW w:w="10327" w:type="dxa"/>
            <w:tcBorders>
              <w:top w:val="single" w:sz="8" w:space="0" w:color="auto"/>
              <w:left w:val="nil"/>
              <w:bottom w:val="single" w:sz="4" w:space="0" w:color="auto"/>
              <w:right w:val="single" w:sz="8" w:space="0" w:color="auto"/>
            </w:tcBorders>
            <w:shd w:val="clear" w:color="000000" w:fill="FFFFFF"/>
            <w:hideMark/>
          </w:tcPr>
          <w:p w:rsidR="00F34828" w:rsidRPr="00E30418" w:rsidRDefault="00F34828" w:rsidP="00774887">
            <w:pPr>
              <w:jc w:val="both"/>
              <w:rPr>
                <w:rFonts w:ascii="Arial" w:hAnsi="Arial" w:cs="Arial"/>
                <w:color w:val="000000"/>
                <w:lang w:eastAsia="es-CL"/>
              </w:rPr>
            </w:pPr>
            <w:r w:rsidRPr="00E30418">
              <w:rPr>
                <w:rFonts w:ascii="Arial" w:hAnsi="Arial" w:cs="Arial"/>
                <w:color w:val="000000"/>
                <w:lang w:eastAsia="es-CL"/>
              </w:rPr>
              <w:t>Deducción de todos aquellos ingresos que no provengan directamente de la venta de productos mineros.</w:t>
            </w:r>
          </w:p>
        </w:tc>
        <w:tc>
          <w:tcPr>
            <w:tcW w:w="488" w:type="dxa"/>
            <w:tcBorders>
              <w:top w:val="single" w:sz="8" w:space="0" w:color="auto"/>
              <w:left w:val="nil"/>
              <w:bottom w:val="nil"/>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 xml:space="preserve">(-) </w:t>
            </w:r>
          </w:p>
        </w:tc>
      </w:tr>
      <w:tr w:rsidR="00F34828" w:rsidRPr="00E30418" w:rsidTr="00774887">
        <w:trPr>
          <w:trHeight w:val="405"/>
        </w:trPr>
        <w:tc>
          <w:tcPr>
            <w:tcW w:w="420" w:type="dxa"/>
            <w:tcBorders>
              <w:top w:val="nil"/>
              <w:left w:val="single" w:sz="8" w:space="0" w:color="auto"/>
              <w:bottom w:val="single" w:sz="4" w:space="0" w:color="auto"/>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2.1</w:t>
            </w:r>
          </w:p>
        </w:tc>
        <w:tc>
          <w:tcPr>
            <w:tcW w:w="10327" w:type="dxa"/>
            <w:tcBorders>
              <w:top w:val="nil"/>
              <w:left w:val="nil"/>
              <w:bottom w:val="single" w:sz="4" w:space="0" w:color="auto"/>
              <w:right w:val="single" w:sz="8" w:space="0" w:color="auto"/>
            </w:tcBorders>
            <w:shd w:val="clear" w:color="000000" w:fill="FFFFFF"/>
            <w:hideMark/>
          </w:tcPr>
          <w:p w:rsidR="00F34828" w:rsidRPr="00E30418" w:rsidRDefault="00F34828" w:rsidP="00774887">
            <w:pPr>
              <w:jc w:val="both"/>
              <w:rPr>
                <w:rFonts w:ascii="Arial" w:hAnsi="Arial" w:cs="Arial"/>
                <w:color w:val="000000"/>
                <w:lang w:eastAsia="es-CL"/>
              </w:rPr>
            </w:pPr>
            <w:r w:rsidRPr="00E30418">
              <w:rPr>
                <w:rFonts w:ascii="Arial" w:hAnsi="Arial" w:cs="Arial"/>
                <w:color w:val="000000"/>
                <w:lang w:eastAsia="es-CL"/>
              </w:rPr>
              <w:t>Gastos y costos necesarios para producir los ingresos a que se refiere el número 1 anterior.</w:t>
            </w:r>
          </w:p>
        </w:tc>
        <w:tc>
          <w:tcPr>
            <w:tcW w:w="488" w:type="dxa"/>
            <w:tcBorders>
              <w:top w:val="single" w:sz="4" w:space="0" w:color="auto"/>
              <w:left w:val="nil"/>
              <w:bottom w:val="single" w:sz="4" w:space="0" w:color="auto"/>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 xml:space="preserve"> +</w:t>
            </w:r>
          </w:p>
        </w:tc>
      </w:tr>
      <w:tr w:rsidR="00F34828" w:rsidRPr="00E30418" w:rsidTr="00774887">
        <w:trPr>
          <w:trHeight w:val="915"/>
        </w:trPr>
        <w:tc>
          <w:tcPr>
            <w:tcW w:w="420" w:type="dxa"/>
            <w:tcBorders>
              <w:top w:val="nil"/>
              <w:left w:val="single" w:sz="8" w:space="0" w:color="auto"/>
              <w:bottom w:val="single" w:sz="4" w:space="0" w:color="auto"/>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2.2</w:t>
            </w:r>
          </w:p>
        </w:tc>
        <w:tc>
          <w:tcPr>
            <w:tcW w:w="10327" w:type="dxa"/>
            <w:tcBorders>
              <w:top w:val="nil"/>
              <w:left w:val="nil"/>
              <w:bottom w:val="single" w:sz="4" w:space="0" w:color="auto"/>
              <w:right w:val="single" w:sz="8" w:space="0" w:color="auto"/>
            </w:tcBorders>
            <w:shd w:val="clear" w:color="000000" w:fill="FFFFFF"/>
            <w:hideMark/>
          </w:tcPr>
          <w:p w:rsidR="00F34828" w:rsidRPr="00E30418" w:rsidRDefault="00F34828" w:rsidP="00774887">
            <w:pPr>
              <w:jc w:val="both"/>
              <w:rPr>
                <w:rFonts w:ascii="Arial" w:hAnsi="Arial" w:cs="Arial"/>
                <w:color w:val="000000"/>
                <w:lang w:eastAsia="es-CL"/>
              </w:rPr>
            </w:pPr>
            <w:r w:rsidRPr="00E30418">
              <w:rPr>
                <w:rFonts w:ascii="Arial" w:hAnsi="Arial" w:cs="Arial"/>
                <w:color w:val="000000"/>
                <w:lang w:eastAsia="es-CL"/>
              </w:rPr>
              <w:t>Gastos de imputación común del explotador minero que no sean asignables exclusivamente a un determinado tipo de ingresos, en la misma proporción que representen los ingresos a que se refiere el N° 1 precedente, respecto del total de los ingresos brutos del explotador minero.</w:t>
            </w:r>
          </w:p>
        </w:tc>
        <w:tc>
          <w:tcPr>
            <w:tcW w:w="488" w:type="dxa"/>
            <w:tcBorders>
              <w:top w:val="nil"/>
              <w:left w:val="nil"/>
              <w:bottom w:val="single" w:sz="4" w:space="0" w:color="auto"/>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 xml:space="preserve"> +</w:t>
            </w:r>
          </w:p>
        </w:tc>
      </w:tr>
      <w:tr w:rsidR="00F34828" w:rsidRPr="00E30418" w:rsidTr="00774887">
        <w:trPr>
          <w:trHeight w:val="585"/>
        </w:trPr>
        <w:tc>
          <w:tcPr>
            <w:tcW w:w="420" w:type="dxa"/>
            <w:tcBorders>
              <w:top w:val="nil"/>
              <w:left w:val="single" w:sz="8" w:space="0" w:color="auto"/>
              <w:bottom w:val="single" w:sz="4" w:space="0" w:color="auto"/>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3.</w:t>
            </w:r>
          </w:p>
        </w:tc>
        <w:tc>
          <w:tcPr>
            <w:tcW w:w="10327" w:type="dxa"/>
            <w:tcBorders>
              <w:top w:val="nil"/>
              <w:left w:val="nil"/>
              <w:bottom w:val="single" w:sz="4" w:space="0" w:color="auto"/>
              <w:right w:val="single" w:sz="8" w:space="0" w:color="auto"/>
            </w:tcBorders>
            <w:shd w:val="clear" w:color="000000" w:fill="FFFFFF"/>
            <w:hideMark/>
          </w:tcPr>
          <w:p w:rsidR="00F34828" w:rsidRPr="00E30418" w:rsidRDefault="00F34828" w:rsidP="00774887">
            <w:pPr>
              <w:jc w:val="both"/>
              <w:rPr>
                <w:rFonts w:ascii="Arial" w:hAnsi="Arial" w:cs="Arial"/>
                <w:color w:val="000000"/>
                <w:lang w:eastAsia="es-CL"/>
              </w:rPr>
            </w:pPr>
            <w:r w:rsidRPr="00E30418">
              <w:rPr>
                <w:rFonts w:ascii="Arial" w:hAnsi="Arial" w:cs="Arial"/>
                <w:color w:val="000000"/>
                <w:lang w:eastAsia="es-CL"/>
              </w:rPr>
              <w:t xml:space="preserve">En caso que se hayan deducido las siguientes partidas del artículo 31 de la LIR, se deben agregar. </w:t>
            </w:r>
          </w:p>
        </w:tc>
        <w:tc>
          <w:tcPr>
            <w:tcW w:w="488" w:type="dxa"/>
            <w:tcBorders>
              <w:top w:val="nil"/>
              <w:left w:val="nil"/>
              <w:bottom w:val="single" w:sz="4" w:space="0" w:color="auto"/>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 </w:t>
            </w:r>
          </w:p>
        </w:tc>
      </w:tr>
      <w:tr w:rsidR="00F34828" w:rsidRPr="00E30418" w:rsidTr="00774887">
        <w:trPr>
          <w:trHeight w:val="300"/>
        </w:trPr>
        <w:tc>
          <w:tcPr>
            <w:tcW w:w="420" w:type="dxa"/>
            <w:tcBorders>
              <w:top w:val="nil"/>
              <w:left w:val="single" w:sz="8" w:space="0" w:color="auto"/>
              <w:bottom w:val="single" w:sz="4" w:space="0" w:color="auto"/>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 </w:t>
            </w:r>
          </w:p>
        </w:tc>
        <w:tc>
          <w:tcPr>
            <w:tcW w:w="10327" w:type="dxa"/>
            <w:tcBorders>
              <w:top w:val="nil"/>
              <w:left w:val="nil"/>
              <w:bottom w:val="single" w:sz="4" w:space="0" w:color="auto"/>
              <w:right w:val="single" w:sz="8" w:space="0" w:color="auto"/>
            </w:tcBorders>
            <w:shd w:val="clear" w:color="000000" w:fill="FFFFFF"/>
            <w:hideMark/>
          </w:tcPr>
          <w:p w:rsidR="00F34828" w:rsidRPr="00E30418" w:rsidRDefault="00F34828" w:rsidP="00774887">
            <w:pPr>
              <w:jc w:val="both"/>
              <w:rPr>
                <w:rFonts w:ascii="Arial" w:hAnsi="Arial" w:cs="Arial"/>
                <w:color w:val="000000"/>
                <w:lang w:eastAsia="es-CL"/>
              </w:rPr>
            </w:pPr>
            <w:r w:rsidRPr="00E30418">
              <w:rPr>
                <w:rFonts w:ascii="Arial" w:hAnsi="Arial" w:cs="Arial"/>
                <w:color w:val="000000"/>
                <w:lang w:eastAsia="es-CL"/>
              </w:rPr>
              <w:t>a) Los intereses referidos en el N° 1 del artículo 31 de la LIR.</w:t>
            </w:r>
          </w:p>
        </w:tc>
        <w:tc>
          <w:tcPr>
            <w:tcW w:w="488" w:type="dxa"/>
            <w:tcBorders>
              <w:top w:val="nil"/>
              <w:left w:val="nil"/>
              <w:bottom w:val="single" w:sz="4" w:space="0" w:color="auto"/>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 xml:space="preserve"> +</w:t>
            </w:r>
          </w:p>
        </w:tc>
      </w:tr>
      <w:tr w:rsidR="00F34828" w:rsidRPr="00E30418" w:rsidTr="00774887">
        <w:trPr>
          <w:trHeight w:val="360"/>
        </w:trPr>
        <w:tc>
          <w:tcPr>
            <w:tcW w:w="420" w:type="dxa"/>
            <w:tcBorders>
              <w:top w:val="nil"/>
              <w:left w:val="single" w:sz="8" w:space="0" w:color="auto"/>
              <w:bottom w:val="single" w:sz="4" w:space="0" w:color="auto"/>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 </w:t>
            </w:r>
          </w:p>
        </w:tc>
        <w:tc>
          <w:tcPr>
            <w:tcW w:w="10327" w:type="dxa"/>
            <w:tcBorders>
              <w:top w:val="nil"/>
              <w:left w:val="nil"/>
              <w:bottom w:val="single" w:sz="4" w:space="0" w:color="auto"/>
              <w:right w:val="single" w:sz="8" w:space="0" w:color="auto"/>
            </w:tcBorders>
            <w:shd w:val="clear" w:color="000000" w:fill="FFFFFF"/>
            <w:hideMark/>
          </w:tcPr>
          <w:p w:rsidR="00F34828" w:rsidRPr="00E30418" w:rsidRDefault="00F34828" w:rsidP="00774887">
            <w:pPr>
              <w:jc w:val="both"/>
              <w:rPr>
                <w:rFonts w:ascii="Arial" w:hAnsi="Arial" w:cs="Arial"/>
                <w:color w:val="000000"/>
                <w:lang w:eastAsia="es-CL"/>
              </w:rPr>
            </w:pPr>
            <w:r w:rsidRPr="00E30418">
              <w:rPr>
                <w:rFonts w:ascii="Arial" w:hAnsi="Arial" w:cs="Arial"/>
                <w:color w:val="000000"/>
                <w:lang w:eastAsia="es-CL"/>
              </w:rPr>
              <w:t>b) Las pérdidas de ejercicios anteriores a que se refiere el N° 3 del artículo 31 de la LIR.</w:t>
            </w:r>
          </w:p>
        </w:tc>
        <w:tc>
          <w:tcPr>
            <w:tcW w:w="488" w:type="dxa"/>
            <w:tcBorders>
              <w:top w:val="nil"/>
              <w:left w:val="nil"/>
              <w:bottom w:val="single" w:sz="4" w:space="0" w:color="auto"/>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 xml:space="preserve"> +</w:t>
            </w:r>
          </w:p>
        </w:tc>
      </w:tr>
      <w:tr w:rsidR="00F34828" w:rsidRPr="00E30418" w:rsidTr="00774887">
        <w:trPr>
          <w:trHeight w:val="330"/>
        </w:trPr>
        <w:tc>
          <w:tcPr>
            <w:tcW w:w="420" w:type="dxa"/>
            <w:tcBorders>
              <w:top w:val="nil"/>
              <w:left w:val="single" w:sz="8" w:space="0" w:color="auto"/>
              <w:bottom w:val="single" w:sz="4" w:space="0" w:color="auto"/>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 </w:t>
            </w:r>
          </w:p>
        </w:tc>
        <w:tc>
          <w:tcPr>
            <w:tcW w:w="10327" w:type="dxa"/>
            <w:tcBorders>
              <w:top w:val="nil"/>
              <w:left w:val="nil"/>
              <w:bottom w:val="single" w:sz="4" w:space="0" w:color="auto"/>
              <w:right w:val="single" w:sz="8" w:space="0" w:color="auto"/>
            </w:tcBorders>
            <w:shd w:val="clear" w:color="000000" w:fill="FFFFFF"/>
            <w:hideMark/>
          </w:tcPr>
          <w:p w:rsidR="00F34828" w:rsidRPr="00E30418" w:rsidRDefault="00F34828" w:rsidP="00774887">
            <w:pPr>
              <w:jc w:val="both"/>
              <w:rPr>
                <w:rFonts w:ascii="Arial" w:hAnsi="Arial" w:cs="Arial"/>
                <w:color w:val="000000"/>
                <w:lang w:eastAsia="es-CL"/>
              </w:rPr>
            </w:pPr>
            <w:r w:rsidRPr="00E30418">
              <w:rPr>
                <w:rFonts w:ascii="Arial" w:hAnsi="Arial" w:cs="Arial"/>
                <w:color w:val="000000"/>
                <w:lang w:eastAsia="es-CL"/>
              </w:rPr>
              <w:t>c) El cargo por depreciación acelerada a que se refiere el N° 5 del artículo 31 de la LIR.</w:t>
            </w:r>
          </w:p>
        </w:tc>
        <w:tc>
          <w:tcPr>
            <w:tcW w:w="488" w:type="dxa"/>
            <w:tcBorders>
              <w:top w:val="nil"/>
              <w:left w:val="nil"/>
              <w:bottom w:val="single" w:sz="4" w:space="0" w:color="auto"/>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 xml:space="preserve"> +</w:t>
            </w:r>
          </w:p>
        </w:tc>
      </w:tr>
      <w:tr w:rsidR="00F34828" w:rsidRPr="00E30418" w:rsidTr="00774887">
        <w:trPr>
          <w:trHeight w:val="1530"/>
        </w:trPr>
        <w:tc>
          <w:tcPr>
            <w:tcW w:w="420" w:type="dxa"/>
            <w:tcBorders>
              <w:top w:val="nil"/>
              <w:left w:val="single" w:sz="8" w:space="0" w:color="auto"/>
              <w:bottom w:val="single" w:sz="4" w:space="0" w:color="auto"/>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 </w:t>
            </w:r>
          </w:p>
        </w:tc>
        <w:tc>
          <w:tcPr>
            <w:tcW w:w="10327" w:type="dxa"/>
            <w:tcBorders>
              <w:top w:val="nil"/>
              <w:left w:val="nil"/>
              <w:bottom w:val="single" w:sz="4" w:space="0" w:color="auto"/>
              <w:right w:val="single" w:sz="8" w:space="0" w:color="auto"/>
            </w:tcBorders>
            <w:shd w:val="clear" w:color="000000" w:fill="FFFFFF"/>
            <w:hideMark/>
          </w:tcPr>
          <w:p w:rsidR="00F34828" w:rsidRPr="00E30418" w:rsidRDefault="00F34828" w:rsidP="00774887">
            <w:pPr>
              <w:jc w:val="both"/>
              <w:rPr>
                <w:rFonts w:ascii="Arial" w:hAnsi="Arial" w:cs="Arial"/>
                <w:color w:val="000000"/>
                <w:lang w:eastAsia="es-CL"/>
              </w:rPr>
            </w:pPr>
            <w:r w:rsidRPr="00E30418">
              <w:rPr>
                <w:rFonts w:ascii="Arial" w:hAnsi="Arial" w:cs="Arial"/>
                <w:color w:val="000000"/>
                <w:lang w:eastAsia="es-CL"/>
              </w:rPr>
              <w:t xml:space="preserve">d) La diferencia que se produzca entre la deducción de los gastos de organización y puesta en marcha a que se refiere el N° 9 del artículo 31 de la LIR, amortizados en un plazo inferior a seis años y la proporción que hubiese correspondido deducir por la amortización de dichos gastos en partes iguales en el plazo de seis años, cuando exista dicha diferencia. La diferencia que resulte de aplicar lo dispuesto en este punto, se   amortizará en el tiempo que reste para completar, en cada caso, los seis ejercicios. </w:t>
            </w:r>
          </w:p>
        </w:tc>
        <w:tc>
          <w:tcPr>
            <w:tcW w:w="488" w:type="dxa"/>
            <w:tcBorders>
              <w:top w:val="nil"/>
              <w:left w:val="nil"/>
              <w:bottom w:val="single" w:sz="4" w:space="0" w:color="auto"/>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 xml:space="preserve"> +</w:t>
            </w:r>
          </w:p>
        </w:tc>
      </w:tr>
      <w:tr w:rsidR="00F34828" w:rsidRPr="00E30418" w:rsidTr="00774887">
        <w:trPr>
          <w:trHeight w:val="840"/>
        </w:trPr>
        <w:tc>
          <w:tcPr>
            <w:tcW w:w="420" w:type="dxa"/>
            <w:tcBorders>
              <w:top w:val="nil"/>
              <w:left w:val="single" w:sz="8" w:space="0" w:color="auto"/>
              <w:bottom w:val="single" w:sz="4" w:space="0" w:color="auto"/>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 </w:t>
            </w:r>
          </w:p>
        </w:tc>
        <w:tc>
          <w:tcPr>
            <w:tcW w:w="10327" w:type="dxa"/>
            <w:tcBorders>
              <w:top w:val="nil"/>
              <w:left w:val="nil"/>
              <w:bottom w:val="single" w:sz="4" w:space="0" w:color="auto"/>
              <w:right w:val="single" w:sz="8" w:space="0" w:color="auto"/>
            </w:tcBorders>
            <w:shd w:val="clear" w:color="000000" w:fill="FFFFFF"/>
            <w:hideMark/>
          </w:tcPr>
          <w:p w:rsidR="00F34828" w:rsidRPr="00E30418" w:rsidRDefault="00F34828" w:rsidP="00774887">
            <w:pPr>
              <w:jc w:val="both"/>
              <w:rPr>
                <w:rFonts w:ascii="Arial" w:hAnsi="Arial" w:cs="Arial"/>
                <w:color w:val="000000"/>
                <w:lang w:eastAsia="es-CL"/>
              </w:rPr>
            </w:pPr>
            <w:r w:rsidRPr="00E30418">
              <w:rPr>
                <w:rFonts w:ascii="Arial" w:hAnsi="Arial" w:cs="Arial"/>
                <w:color w:val="000000"/>
                <w:lang w:eastAsia="es-CL"/>
              </w:rPr>
              <w:t xml:space="preserve">e.1) La contraprestación que se pague en virtud de un contrato de avío, compraventa de minerales, arrendamiento o usufructo de una pertenencia minera, o cualquier otro que tenga su origen en la entrega de la explotación de un yacimiento minero a un tercero. </w:t>
            </w:r>
          </w:p>
        </w:tc>
        <w:tc>
          <w:tcPr>
            <w:tcW w:w="488" w:type="dxa"/>
            <w:tcBorders>
              <w:top w:val="nil"/>
              <w:left w:val="nil"/>
              <w:bottom w:val="single" w:sz="4" w:space="0" w:color="auto"/>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 xml:space="preserve"> +</w:t>
            </w:r>
          </w:p>
        </w:tc>
      </w:tr>
      <w:tr w:rsidR="00F34828" w:rsidRPr="00E30418" w:rsidTr="00774887">
        <w:trPr>
          <w:trHeight w:val="585"/>
        </w:trPr>
        <w:tc>
          <w:tcPr>
            <w:tcW w:w="420" w:type="dxa"/>
            <w:tcBorders>
              <w:top w:val="nil"/>
              <w:left w:val="single" w:sz="8" w:space="0" w:color="auto"/>
              <w:bottom w:val="single" w:sz="4" w:space="0" w:color="auto"/>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 </w:t>
            </w:r>
          </w:p>
        </w:tc>
        <w:tc>
          <w:tcPr>
            <w:tcW w:w="10327" w:type="dxa"/>
            <w:tcBorders>
              <w:top w:val="nil"/>
              <w:left w:val="nil"/>
              <w:bottom w:val="single" w:sz="4" w:space="0" w:color="auto"/>
              <w:right w:val="single" w:sz="8" w:space="0" w:color="auto"/>
            </w:tcBorders>
            <w:shd w:val="clear" w:color="000000" w:fill="FFFFFF"/>
            <w:hideMark/>
          </w:tcPr>
          <w:p w:rsidR="00F34828" w:rsidRPr="00E30418" w:rsidRDefault="00F34828" w:rsidP="00774887">
            <w:pPr>
              <w:jc w:val="both"/>
              <w:rPr>
                <w:rFonts w:ascii="Arial" w:hAnsi="Arial" w:cs="Arial"/>
                <w:color w:val="000000"/>
                <w:lang w:eastAsia="es-CL"/>
              </w:rPr>
            </w:pPr>
            <w:r w:rsidRPr="00E30418">
              <w:rPr>
                <w:rFonts w:ascii="Arial" w:hAnsi="Arial" w:cs="Arial"/>
                <w:color w:val="000000"/>
                <w:lang w:eastAsia="es-CL"/>
              </w:rPr>
              <w:t>e.2) Parte del precio de la compraventa de una pertenencia minera que haya sido pactado como un porcentaje de las ventas de productos mineros o de las utilidades del comprador.</w:t>
            </w:r>
          </w:p>
        </w:tc>
        <w:tc>
          <w:tcPr>
            <w:tcW w:w="488" w:type="dxa"/>
            <w:tcBorders>
              <w:top w:val="nil"/>
              <w:left w:val="nil"/>
              <w:bottom w:val="single" w:sz="4" w:space="0" w:color="auto"/>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 xml:space="preserve"> +</w:t>
            </w:r>
          </w:p>
        </w:tc>
      </w:tr>
      <w:tr w:rsidR="00F34828" w:rsidRPr="00E30418" w:rsidTr="00774887">
        <w:trPr>
          <w:trHeight w:val="915"/>
        </w:trPr>
        <w:tc>
          <w:tcPr>
            <w:tcW w:w="420" w:type="dxa"/>
            <w:tcBorders>
              <w:top w:val="nil"/>
              <w:left w:val="single" w:sz="8" w:space="0" w:color="auto"/>
              <w:bottom w:val="single" w:sz="4" w:space="0" w:color="auto"/>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 xml:space="preserve">4.- </w:t>
            </w:r>
          </w:p>
        </w:tc>
        <w:tc>
          <w:tcPr>
            <w:tcW w:w="10327" w:type="dxa"/>
            <w:tcBorders>
              <w:top w:val="nil"/>
              <w:left w:val="nil"/>
              <w:bottom w:val="single" w:sz="4" w:space="0" w:color="auto"/>
              <w:right w:val="single" w:sz="8" w:space="0" w:color="auto"/>
            </w:tcBorders>
            <w:shd w:val="clear" w:color="000000" w:fill="FFFFFF"/>
            <w:hideMark/>
          </w:tcPr>
          <w:p w:rsidR="00F34828" w:rsidRPr="00E30418" w:rsidRDefault="00F34828" w:rsidP="00774887">
            <w:pPr>
              <w:jc w:val="both"/>
              <w:rPr>
                <w:rFonts w:ascii="Arial" w:hAnsi="Arial" w:cs="Arial"/>
                <w:color w:val="000000"/>
                <w:lang w:eastAsia="es-CL"/>
              </w:rPr>
            </w:pPr>
            <w:r w:rsidRPr="00E30418">
              <w:rPr>
                <w:rFonts w:ascii="Arial" w:hAnsi="Arial" w:cs="Arial"/>
                <w:color w:val="000000"/>
                <w:lang w:eastAsia="es-CL"/>
              </w:rPr>
              <w:t>Cuota anual de depreciación de bienes físicos del activo inmovilizado que hubiere correspondido de no aplicarse el régimen de depreciación acelerada a que se refiere el N° 5 del artículo 31 de la LIR.</w:t>
            </w:r>
          </w:p>
        </w:tc>
        <w:tc>
          <w:tcPr>
            <w:tcW w:w="488" w:type="dxa"/>
            <w:tcBorders>
              <w:top w:val="nil"/>
              <w:left w:val="nil"/>
              <w:bottom w:val="single" w:sz="4" w:space="0" w:color="auto"/>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 xml:space="preserve"> (-)</w:t>
            </w:r>
          </w:p>
        </w:tc>
      </w:tr>
      <w:tr w:rsidR="00F34828" w:rsidRPr="00E30418" w:rsidTr="00774887">
        <w:trPr>
          <w:trHeight w:val="405"/>
        </w:trPr>
        <w:tc>
          <w:tcPr>
            <w:tcW w:w="420" w:type="dxa"/>
            <w:tcBorders>
              <w:top w:val="nil"/>
              <w:left w:val="single" w:sz="8" w:space="0" w:color="auto"/>
              <w:bottom w:val="single" w:sz="8" w:space="0" w:color="auto"/>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 </w:t>
            </w:r>
          </w:p>
        </w:tc>
        <w:tc>
          <w:tcPr>
            <w:tcW w:w="10327" w:type="dxa"/>
            <w:tcBorders>
              <w:top w:val="nil"/>
              <w:left w:val="nil"/>
              <w:bottom w:val="single" w:sz="8" w:space="0" w:color="auto"/>
              <w:right w:val="single" w:sz="8" w:space="0" w:color="auto"/>
            </w:tcBorders>
            <w:shd w:val="clear" w:color="000000" w:fill="FFFFFF"/>
            <w:hideMark/>
          </w:tcPr>
          <w:p w:rsidR="00F34828" w:rsidRPr="00E30418" w:rsidRDefault="00F34828" w:rsidP="00FA4442">
            <w:pPr>
              <w:jc w:val="both"/>
              <w:rPr>
                <w:rFonts w:ascii="Arial" w:hAnsi="Arial" w:cs="Arial"/>
                <w:b/>
                <w:bCs/>
                <w:color w:val="000000"/>
                <w:lang w:eastAsia="es-CL"/>
              </w:rPr>
            </w:pPr>
            <w:r w:rsidRPr="00E30418">
              <w:rPr>
                <w:rFonts w:ascii="Arial" w:hAnsi="Arial" w:cs="Arial"/>
                <w:b/>
                <w:bCs/>
                <w:color w:val="000000"/>
                <w:lang w:eastAsia="es-CL"/>
              </w:rPr>
              <w:t>R</w:t>
            </w:r>
            <w:r w:rsidR="00FA4442">
              <w:rPr>
                <w:rFonts w:ascii="Arial" w:hAnsi="Arial" w:cs="Arial"/>
                <w:b/>
                <w:bCs/>
                <w:color w:val="000000"/>
                <w:lang w:eastAsia="es-CL"/>
              </w:rPr>
              <w:t>IOM</w:t>
            </w:r>
            <w:r w:rsidRPr="00E30418">
              <w:rPr>
                <w:rFonts w:ascii="Arial" w:hAnsi="Arial" w:cs="Arial"/>
                <w:b/>
                <w:bCs/>
                <w:color w:val="000000"/>
                <w:lang w:eastAsia="es-CL"/>
              </w:rPr>
              <w:t xml:space="preserve">  (O PERDIDA) ANUAL, SEGÚN CORRESPONDA </w:t>
            </w:r>
          </w:p>
        </w:tc>
        <w:tc>
          <w:tcPr>
            <w:tcW w:w="488" w:type="dxa"/>
            <w:tcBorders>
              <w:top w:val="nil"/>
              <w:left w:val="nil"/>
              <w:bottom w:val="single" w:sz="8" w:space="0" w:color="auto"/>
              <w:right w:val="single" w:sz="8" w:space="0" w:color="auto"/>
            </w:tcBorders>
            <w:shd w:val="clear" w:color="000000" w:fill="FFFFFF"/>
            <w:vAlign w:val="center"/>
            <w:hideMark/>
          </w:tcPr>
          <w:p w:rsidR="00F34828" w:rsidRPr="00E30418" w:rsidRDefault="00F34828" w:rsidP="00774887">
            <w:pPr>
              <w:jc w:val="center"/>
              <w:rPr>
                <w:rFonts w:ascii="Arial" w:hAnsi="Arial" w:cs="Arial"/>
                <w:color w:val="000000"/>
                <w:lang w:eastAsia="es-CL"/>
              </w:rPr>
            </w:pPr>
            <w:r w:rsidRPr="00E30418">
              <w:rPr>
                <w:rFonts w:ascii="Arial" w:hAnsi="Arial" w:cs="Arial"/>
                <w:color w:val="000000"/>
                <w:lang w:eastAsia="es-CL"/>
              </w:rPr>
              <w:t>(=)</w:t>
            </w:r>
          </w:p>
        </w:tc>
      </w:tr>
    </w:tbl>
    <w:p w:rsidR="00F34828" w:rsidRDefault="00F34828" w:rsidP="00F34828"/>
    <w:p w:rsidR="00F34828" w:rsidRDefault="00F34828" w:rsidP="00F34828"/>
    <w:p w:rsidR="00F34828" w:rsidRDefault="00F34828" w:rsidP="00F34828"/>
    <w:p w:rsidR="00F34828" w:rsidRDefault="00F34828" w:rsidP="00F34828"/>
    <w:p w:rsidR="00F34828" w:rsidRDefault="00F34828" w:rsidP="00F34828"/>
    <w:p w:rsidR="00F34828" w:rsidRDefault="00F34828" w:rsidP="00F34828"/>
    <w:p w:rsidR="00702189" w:rsidRDefault="0012693D" w:rsidP="00702189">
      <w:pPr>
        <w:autoSpaceDE w:val="0"/>
        <w:autoSpaceDN w:val="0"/>
        <w:adjustRightInd w:val="0"/>
        <w:ind w:right="-162"/>
        <w:jc w:val="center"/>
        <w:rPr>
          <w:rFonts w:ascii="Arial" w:hAnsi="Arial" w:cs="Arial"/>
          <w:b/>
          <w:bCs/>
          <w:caps/>
          <w:color w:val="000000"/>
          <w:lang w:eastAsia="es-CL"/>
        </w:rPr>
      </w:pPr>
      <w:r>
        <w:br w:type="page"/>
      </w:r>
      <w:r w:rsidR="00702189" w:rsidRPr="00DF5047">
        <w:rPr>
          <w:rFonts w:ascii="Arial" w:hAnsi="Arial" w:cs="Arial"/>
          <w:b/>
          <w:bCs/>
          <w:caps/>
          <w:color w:val="000000"/>
          <w:lang w:eastAsia="es-CL"/>
        </w:rPr>
        <w:t>Anexo N° 7</w:t>
      </w:r>
      <w:r w:rsidR="00702189">
        <w:rPr>
          <w:rFonts w:ascii="Arial" w:hAnsi="Arial" w:cs="Arial"/>
          <w:b/>
          <w:bCs/>
          <w:caps/>
          <w:color w:val="000000"/>
          <w:lang w:eastAsia="es-CL"/>
        </w:rPr>
        <w:t xml:space="preserve"> EJEMPLOS.</w:t>
      </w:r>
    </w:p>
    <w:p w:rsidR="0012693D" w:rsidRDefault="0012693D"/>
    <w:p w:rsidR="00CE393C" w:rsidRDefault="00CE393C" w:rsidP="00F34828">
      <w:r>
        <w:object w:dxaOrig="9001" w:dyaOrig="9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05pt;height:474.65pt" o:ole="">
            <v:imagedata r:id="rId9" o:title=""/>
          </v:shape>
          <o:OLEObject Type="Embed" ProgID="Excel.Sheet.8" ShapeID="_x0000_i1025" DrawAspect="Content" ObjectID="_1679821130" r:id="rId10"/>
        </w:object>
      </w:r>
    </w:p>
    <w:p w:rsidR="00CE393C" w:rsidRDefault="00CE393C">
      <w:r>
        <w:br w:type="page"/>
      </w:r>
    </w:p>
    <w:p w:rsidR="00F34828" w:rsidRDefault="00702189" w:rsidP="00F34828">
      <w:r>
        <w:object w:dxaOrig="9001" w:dyaOrig="11638">
          <v:shape id="_x0000_i1026" type="#_x0000_t75" style="width:450.05pt;height:581.9pt" o:ole="">
            <v:imagedata r:id="rId11" o:title=""/>
          </v:shape>
          <o:OLEObject Type="Embed" ProgID="Excel.Sheet.8" ShapeID="_x0000_i1026" DrawAspect="Content" ObjectID="_1679821131" r:id="rId12"/>
        </w:object>
      </w:r>
    </w:p>
    <w:p w:rsidR="00106140" w:rsidRDefault="00106140" w:rsidP="00106140"/>
    <w:p w:rsidR="00276650" w:rsidRDefault="00276650">
      <w:r>
        <w:br w:type="page"/>
      </w:r>
    </w:p>
    <w:tbl>
      <w:tblPr>
        <w:tblW w:w="9240" w:type="dxa"/>
        <w:tblInd w:w="52" w:type="dxa"/>
        <w:tblCellMar>
          <w:left w:w="70" w:type="dxa"/>
          <w:right w:w="70" w:type="dxa"/>
        </w:tblCellMar>
        <w:tblLook w:val="04A0" w:firstRow="1" w:lastRow="0" w:firstColumn="1" w:lastColumn="0" w:noHBand="0" w:noVBand="1"/>
      </w:tblPr>
      <w:tblGrid>
        <w:gridCol w:w="234"/>
        <w:gridCol w:w="577"/>
        <w:gridCol w:w="229"/>
        <w:gridCol w:w="577"/>
        <w:gridCol w:w="234"/>
        <w:gridCol w:w="455"/>
        <w:gridCol w:w="229"/>
        <w:gridCol w:w="453"/>
        <w:gridCol w:w="804"/>
        <w:gridCol w:w="741"/>
        <w:gridCol w:w="185"/>
        <w:gridCol w:w="234"/>
        <w:gridCol w:w="577"/>
        <w:gridCol w:w="229"/>
        <w:gridCol w:w="566"/>
        <w:gridCol w:w="234"/>
        <w:gridCol w:w="454"/>
        <w:gridCol w:w="229"/>
        <w:gridCol w:w="453"/>
        <w:gridCol w:w="804"/>
        <w:gridCol w:w="742"/>
      </w:tblGrid>
      <w:tr w:rsidR="00F34828" w:rsidRPr="00E91F53" w:rsidTr="00276650">
        <w:trPr>
          <w:trHeight w:val="225"/>
        </w:trPr>
        <w:tc>
          <w:tcPr>
            <w:tcW w:w="9240" w:type="dxa"/>
            <w:gridSpan w:val="21"/>
            <w:tcBorders>
              <w:top w:val="nil"/>
              <w:left w:val="nil"/>
              <w:bottom w:val="nil"/>
              <w:right w:val="nil"/>
            </w:tcBorders>
            <w:shd w:val="clear" w:color="000000" w:fill="FFFFFF"/>
            <w:noWrap/>
            <w:vAlign w:val="bottom"/>
            <w:hideMark/>
          </w:tcPr>
          <w:p w:rsidR="003E25D4" w:rsidRDefault="00106140" w:rsidP="00276650">
            <w:pPr>
              <w:jc w:val="center"/>
              <w:rPr>
                <w:rFonts w:ascii="Arial" w:hAnsi="Arial" w:cs="Arial"/>
                <w:b/>
                <w:sz w:val="22"/>
                <w:szCs w:val="22"/>
              </w:rPr>
            </w:pPr>
            <w:r>
              <w:br w:type="page"/>
            </w:r>
            <w:r w:rsidR="00F34828">
              <w:br w:type="page"/>
            </w:r>
            <w:r w:rsidR="003E25D4" w:rsidRPr="00ED66AC">
              <w:rPr>
                <w:rFonts w:ascii="Arial" w:hAnsi="Arial" w:cs="Arial"/>
                <w:b/>
                <w:bCs/>
                <w:lang w:eastAsia="es-CL"/>
              </w:rPr>
              <w:t>ANEXO N°</w:t>
            </w:r>
            <w:r w:rsidR="003E25D4">
              <w:rPr>
                <w:rFonts w:ascii="Arial" w:hAnsi="Arial" w:cs="Arial"/>
                <w:b/>
                <w:bCs/>
                <w:lang w:eastAsia="es-CL"/>
              </w:rPr>
              <w:t>8 ART. 2° TRANSITORIO LEY 20.469</w:t>
            </w:r>
            <w:r w:rsidR="003E25D4" w:rsidRPr="00ED66AC">
              <w:rPr>
                <w:rFonts w:ascii="Arial" w:hAnsi="Arial" w:cs="Arial"/>
                <w:b/>
                <w:bCs/>
                <w:lang w:eastAsia="es-CL"/>
              </w:rPr>
              <w:t>.</w:t>
            </w:r>
          </w:p>
          <w:p w:rsidR="00F34828" w:rsidRPr="00E91F53" w:rsidRDefault="00F34828" w:rsidP="00774887">
            <w:pPr>
              <w:jc w:val="center"/>
              <w:rPr>
                <w:rFonts w:ascii="Arial" w:hAnsi="Arial" w:cs="Arial"/>
                <w:b/>
                <w:bCs/>
                <w:sz w:val="16"/>
                <w:szCs w:val="16"/>
                <w:lang w:eastAsia="es-CL"/>
              </w:rPr>
            </w:pPr>
          </w:p>
        </w:tc>
      </w:tr>
      <w:tr w:rsidR="00F34828" w:rsidRPr="00E91F53" w:rsidTr="00C97491">
        <w:trPr>
          <w:trHeight w:val="158"/>
        </w:trPr>
        <w:tc>
          <w:tcPr>
            <w:tcW w:w="234" w:type="dxa"/>
            <w:tcBorders>
              <w:top w:val="nil"/>
              <w:left w:val="nil"/>
              <w:bottom w:val="nil"/>
              <w:right w:val="nil"/>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 </w:t>
            </w:r>
          </w:p>
        </w:tc>
        <w:tc>
          <w:tcPr>
            <w:tcW w:w="577" w:type="dxa"/>
            <w:tcBorders>
              <w:top w:val="nil"/>
              <w:left w:val="nil"/>
              <w:bottom w:val="nil"/>
              <w:right w:val="nil"/>
            </w:tcBorders>
            <w:shd w:val="clear" w:color="000000" w:fill="FFFFFF"/>
            <w:vAlign w:val="center"/>
            <w:hideMark/>
          </w:tcPr>
          <w:p w:rsidR="00F34828" w:rsidRPr="00E91F53" w:rsidRDefault="00F34828" w:rsidP="00774887">
            <w:pPr>
              <w:jc w:val="center"/>
              <w:rPr>
                <w:rFonts w:ascii="Arial" w:hAnsi="Arial" w:cs="Arial"/>
                <w:b/>
                <w:bCs/>
                <w:sz w:val="16"/>
                <w:szCs w:val="16"/>
                <w:u w:val="single"/>
                <w:lang w:eastAsia="es-CL"/>
              </w:rPr>
            </w:pPr>
            <w:r w:rsidRPr="00E91F53">
              <w:rPr>
                <w:rFonts w:ascii="Arial" w:hAnsi="Arial" w:cs="Arial"/>
                <w:b/>
                <w:bCs/>
                <w:sz w:val="16"/>
                <w:szCs w:val="16"/>
                <w:u w:val="single"/>
                <w:lang w:eastAsia="es-CL"/>
              </w:rPr>
              <w:t> </w:t>
            </w:r>
          </w:p>
        </w:tc>
        <w:tc>
          <w:tcPr>
            <w:tcW w:w="229" w:type="dxa"/>
            <w:tcBorders>
              <w:top w:val="nil"/>
              <w:left w:val="nil"/>
              <w:bottom w:val="nil"/>
              <w:right w:val="nil"/>
            </w:tcBorders>
            <w:shd w:val="clear" w:color="000000" w:fill="FFFFFF"/>
            <w:vAlign w:val="center"/>
            <w:hideMark/>
          </w:tcPr>
          <w:p w:rsidR="00F34828" w:rsidRPr="00E91F53" w:rsidRDefault="00F34828" w:rsidP="00774887">
            <w:pPr>
              <w:jc w:val="center"/>
              <w:rPr>
                <w:rFonts w:ascii="Arial" w:hAnsi="Arial" w:cs="Arial"/>
                <w:b/>
                <w:bCs/>
                <w:sz w:val="16"/>
                <w:szCs w:val="16"/>
                <w:u w:val="single"/>
                <w:lang w:eastAsia="es-CL"/>
              </w:rPr>
            </w:pPr>
            <w:r w:rsidRPr="00E91F53">
              <w:rPr>
                <w:rFonts w:ascii="Arial" w:hAnsi="Arial" w:cs="Arial"/>
                <w:b/>
                <w:bCs/>
                <w:sz w:val="16"/>
                <w:szCs w:val="16"/>
                <w:u w:val="single"/>
                <w:lang w:eastAsia="es-CL"/>
              </w:rPr>
              <w:t> </w:t>
            </w:r>
          </w:p>
        </w:tc>
        <w:tc>
          <w:tcPr>
            <w:tcW w:w="577" w:type="dxa"/>
            <w:tcBorders>
              <w:top w:val="nil"/>
              <w:left w:val="nil"/>
              <w:bottom w:val="nil"/>
              <w:right w:val="nil"/>
            </w:tcBorders>
            <w:shd w:val="clear" w:color="000000" w:fill="FFFFFF"/>
            <w:vAlign w:val="center"/>
            <w:hideMark/>
          </w:tcPr>
          <w:p w:rsidR="00F34828" w:rsidRPr="00E91F53" w:rsidRDefault="00F34828" w:rsidP="00774887">
            <w:pPr>
              <w:jc w:val="center"/>
              <w:rPr>
                <w:rFonts w:ascii="Arial" w:hAnsi="Arial" w:cs="Arial"/>
                <w:b/>
                <w:bCs/>
                <w:sz w:val="16"/>
                <w:szCs w:val="16"/>
                <w:u w:val="single"/>
                <w:lang w:eastAsia="es-CL"/>
              </w:rPr>
            </w:pPr>
            <w:r w:rsidRPr="00E91F53">
              <w:rPr>
                <w:rFonts w:ascii="Arial" w:hAnsi="Arial" w:cs="Arial"/>
                <w:b/>
                <w:bCs/>
                <w:sz w:val="16"/>
                <w:szCs w:val="16"/>
                <w:u w:val="single"/>
                <w:lang w:eastAsia="es-CL"/>
              </w:rPr>
              <w:t> </w:t>
            </w:r>
          </w:p>
        </w:tc>
        <w:tc>
          <w:tcPr>
            <w:tcW w:w="234" w:type="dxa"/>
            <w:tcBorders>
              <w:top w:val="nil"/>
              <w:left w:val="nil"/>
              <w:bottom w:val="nil"/>
              <w:right w:val="nil"/>
            </w:tcBorders>
            <w:shd w:val="clear" w:color="000000" w:fill="FFFFFF"/>
            <w:vAlign w:val="center"/>
            <w:hideMark/>
          </w:tcPr>
          <w:p w:rsidR="00F34828" w:rsidRPr="00E91F53" w:rsidRDefault="00F34828" w:rsidP="00774887">
            <w:pPr>
              <w:jc w:val="center"/>
              <w:rPr>
                <w:rFonts w:ascii="Arial" w:hAnsi="Arial" w:cs="Arial"/>
                <w:b/>
                <w:bCs/>
                <w:sz w:val="16"/>
                <w:szCs w:val="16"/>
                <w:u w:val="single"/>
                <w:lang w:eastAsia="es-CL"/>
              </w:rPr>
            </w:pPr>
            <w:r w:rsidRPr="00E91F53">
              <w:rPr>
                <w:rFonts w:ascii="Arial" w:hAnsi="Arial" w:cs="Arial"/>
                <w:b/>
                <w:bCs/>
                <w:sz w:val="16"/>
                <w:szCs w:val="16"/>
                <w:u w:val="single"/>
                <w:lang w:eastAsia="es-CL"/>
              </w:rPr>
              <w:t> </w:t>
            </w:r>
          </w:p>
        </w:tc>
        <w:tc>
          <w:tcPr>
            <w:tcW w:w="455" w:type="dxa"/>
            <w:tcBorders>
              <w:top w:val="nil"/>
              <w:left w:val="nil"/>
              <w:bottom w:val="nil"/>
              <w:right w:val="nil"/>
            </w:tcBorders>
            <w:shd w:val="clear" w:color="000000" w:fill="FFFFFF"/>
            <w:vAlign w:val="center"/>
            <w:hideMark/>
          </w:tcPr>
          <w:p w:rsidR="00F34828" w:rsidRPr="00E91F53" w:rsidRDefault="00F34828" w:rsidP="00774887">
            <w:pPr>
              <w:jc w:val="center"/>
              <w:rPr>
                <w:rFonts w:ascii="Arial" w:hAnsi="Arial" w:cs="Arial"/>
                <w:b/>
                <w:bCs/>
                <w:sz w:val="16"/>
                <w:szCs w:val="16"/>
                <w:u w:val="single"/>
                <w:lang w:eastAsia="es-CL"/>
              </w:rPr>
            </w:pPr>
            <w:r w:rsidRPr="00E91F53">
              <w:rPr>
                <w:rFonts w:ascii="Arial" w:hAnsi="Arial" w:cs="Arial"/>
                <w:b/>
                <w:bCs/>
                <w:sz w:val="16"/>
                <w:szCs w:val="16"/>
                <w:u w:val="single"/>
                <w:lang w:eastAsia="es-CL"/>
              </w:rPr>
              <w:t> </w:t>
            </w:r>
          </w:p>
        </w:tc>
        <w:tc>
          <w:tcPr>
            <w:tcW w:w="229" w:type="dxa"/>
            <w:tcBorders>
              <w:top w:val="nil"/>
              <w:left w:val="nil"/>
              <w:bottom w:val="nil"/>
              <w:right w:val="nil"/>
            </w:tcBorders>
            <w:shd w:val="clear" w:color="000000" w:fill="FFFFFF"/>
            <w:vAlign w:val="center"/>
            <w:hideMark/>
          </w:tcPr>
          <w:p w:rsidR="00F34828" w:rsidRPr="00E91F53" w:rsidRDefault="00F34828" w:rsidP="00774887">
            <w:pPr>
              <w:jc w:val="center"/>
              <w:rPr>
                <w:rFonts w:ascii="Arial" w:hAnsi="Arial" w:cs="Arial"/>
                <w:b/>
                <w:bCs/>
                <w:sz w:val="16"/>
                <w:szCs w:val="16"/>
                <w:u w:val="single"/>
                <w:lang w:eastAsia="es-CL"/>
              </w:rPr>
            </w:pPr>
            <w:r w:rsidRPr="00E91F53">
              <w:rPr>
                <w:rFonts w:ascii="Arial" w:hAnsi="Arial" w:cs="Arial"/>
                <w:b/>
                <w:bCs/>
                <w:sz w:val="16"/>
                <w:szCs w:val="16"/>
                <w:u w:val="single"/>
                <w:lang w:eastAsia="es-CL"/>
              </w:rPr>
              <w:t> </w:t>
            </w:r>
          </w:p>
        </w:tc>
        <w:tc>
          <w:tcPr>
            <w:tcW w:w="453" w:type="dxa"/>
            <w:tcBorders>
              <w:top w:val="nil"/>
              <w:left w:val="nil"/>
              <w:bottom w:val="nil"/>
              <w:right w:val="nil"/>
            </w:tcBorders>
            <w:shd w:val="clear" w:color="000000" w:fill="FFFFFF"/>
            <w:vAlign w:val="center"/>
            <w:hideMark/>
          </w:tcPr>
          <w:p w:rsidR="00F34828" w:rsidRPr="00E91F53" w:rsidRDefault="00F34828" w:rsidP="00774887">
            <w:pPr>
              <w:jc w:val="center"/>
              <w:rPr>
                <w:rFonts w:ascii="Arial" w:hAnsi="Arial" w:cs="Arial"/>
                <w:b/>
                <w:bCs/>
                <w:sz w:val="16"/>
                <w:szCs w:val="16"/>
                <w:u w:val="single"/>
                <w:lang w:eastAsia="es-CL"/>
              </w:rPr>
            </w:pPr>
            <w:r w:rsidRPr="00E91F53">
              <w:rPr>
                <w:rFonts w:ascii="Arial" w:hAnsi="Arial" w:cs="Arial"/>
                <w:b/>
                <w:bCs/>
                <w:sz w:val="16"/>
                <w:szCs w:val="16"/>
                <w:u w:val="single"/>
                <w:lang w:eastAsia="es-CL"/>
              </w:rPr>
              <w:t> </w:t>
            </w:r>
          </w:p>
        </w:tc>
        <w:tc>
          <w:tcPr>
            <w:tcW w:w="804" w:type="dxa"/>
            <w:tcBorders>
              <w:top w:val="nil"/>
              <w:left w:val="nil"/>
              <w:bottom w:val="nil"/>
              <w:right w:val="nil"/>
            </w:tcBorders>
            <w:shd w:val="clear" w:color="000000" w:fill="FFFFFF"/>
            <w:vAlign w:val="center"/>
            <w:hideMark/>
          </w:tcPr>
          <w:p w:rsidR="00F34828" w:rsidRPr="00E91F53" w:rsidRDefault="00F34828" w:rsidP="00774887">
            <w:pPr>
              <w:jc w:val="center"/>
              <w:rPr>
                <w:rFonts w:ascii="Arial" w:hAnsi="Arial" w:cs="Arial"/>
                <w:b/>
                <w:bCs/>
                <w:sz w:val="16"/>
                <w:szCs w:val="16"/>
                <w:u w:val="single"/>
                <w:lang w:eastAsia="es-CL"/>
              </w:rPr>
            </w:pPr>
            <w:r w:rsidRPr="00E91F53">
              <w:rPr>
                <w:rFonts w:ascii="Arial" w:hAnsi="Arial" w:cs="Arial"/>
                <w:b/>
                <w:bCs/>
                <w:sz w:val="16"/>
                <w:szCs w:val="16"/>
                <w:u w:val="single"/>
                <w:lang w:eastAsia="es-CL"/>
              </w:rPr>
              <w:t> </w:t>
            </w:r>
          </w:p>
        </w:tc>
        <w:tc>
          <w:tcPr>
            <w:tcW w:w="741" w:type="dxa"/>
            <w:tcBorders>
              <w:top w:val="nil"/>
              <w:left w:val="nil"/>
              <w:bottom w:val="nil"/>
              <w:right w:val="nil"/>
            </w:tcBorders>
            <w:shd w:val="clear" w:color="000000" w:fill="FFFFFF"/>
            <w:vAlign w:val="center"/>
            <w:hideMark/>
          </w:tcPr>
          <w:p w:rsidR="00F34828" w:rsidRPr="00E91F53" w:rsidRDefault="00F34828" w:rsidP="00774887">
            <w:pPr>
              <w:jc w:val="center"/>
              <w:rPr>
                <w:rFonts w:ascii="Arial" w:hAnsi="Arial" w:cs="Arial"/>
                <w:b/>
                <w:bCs/>
                <w:sz w:val="16"/>
                <w:szCs w:val="16"/>
                <w:u w:val="single"/>
                <w:lang w:eastAsia="es-CL"/>
              </w:rPr>
            </w:pPr>
            <w:r w:rsidRPr="00E91F53">
              <w:rPr>
                <w:rFonts w:ascii="Arial" w:hAnsi="Arial" w:cs="Arial"/>
                <w:b/>
                <w:bCs/>
                <w:sz w:val="16"/>
                <w:szCs w:val="16"/>
                <w:u w:val="single"/>
                <w:lang w:eastAsia="es-CL"/>
              </w:rPr>
              <w:t> </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nil"/>
              <w:bottom w:val="nil"/>
              <w:right w:val="nil"/>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 </w:t>
            </w:r>
          </w:p>
        </w:tc>
        <w:tc>
          <w:tcPr>
            <w:tcW w:w="577" w:type="dxa"/>
            <w:tcBorders>
              <w:top w:val="nil"/>
              <w:left w:val="nil"/>
              <w:bottom w:val="nil"/>
              <w:right w:val="nil"/>
            </w:tcBorders>
            <w:shd w:val="clear" w:color="000000" w:fill="FFFFFF"/>
            <w:vAlign w:val="center"/>
            <w:hideMark/>
          </w:tcPr>
          <w:p w:rsidR="00F34828" w:rsidRPr="00E91F53" w:rsidRDefault="00F34828" w:rsidP="00774887">
            <w:pPr>
              <w:jc w:val="center"/>
              <w:rPr>
                <w:rFonts w:ascii="Arial" w:hAnsi="Arial" w:cs="Arial"/>
                <w:b/>
                <w:bCs/>
                <w:sz w:val="16"/>
                <w:szCs w:val="16"/>
                <w:u w:val="single"/>
                <w:lang w:eastAsia="es-CL"/>
              </w:rPr>
            </w:pPr>
            <w:r w:rsidRPr="00E91F53">
              <w:rPr>
                <w:rFonts w:ascii="Arial" w:hAnsi="Arial" w:cs="Arial"/>
                <w:b/>
                <w:bCs/>
                <w:sz w:val="16"/>
                <w:szCs w:val="16"/>
                <w:u w:val="single"/>
                <w:lang w:eastAsia="es-CL"/>
              </w:rPr>
              <w:t> </w:t>
            </w:r>
          </w:p>
        </w:tc>
        <w:tc>
          <w:tcPr>
            <w:tcW w:w="229" w:type="dxa"/>
            <w:tcBorders>
              <w:top w:val="nil"/>
              <w:left w:val="nil"/>
              <w:bottom w:val="nil"/>
              <w:right w:val="nil"/>
            </w:tcBorders>
            <w:shd w:val="clear" w:color="000000" w:fill="FFFFFF"/>
            <w:vAlign w:val="center"/>
            <w:hideMark/>
          </w:tcPr>
          <w:p w:rsidR="00F34828" w:rsidRPr="00E91F53" w:rsidRDefault="00F34828" w:rsidP="00774887">
            <w:pPr>
              <w:jc w:val="center"/>
              <w:rPr>
                <w:rFonts w:ascii="Arial" w:hAnsi="Arial" w:cs="Arial"/>
                <w:b/>
                <w:bCs/>
                <w:sz w:val="16"/>
                <w:szCs w:val="16"/>
                <w:u w:val="single"/>
                <w:lang w:eastAsia="es-CL"/>
              </w:rPr>
            </w:pPr>
            <w:r w:rsidRPr="00E91F53">
              <w:rPr>
                <w:rFonts w:ascii="Arial" w:hAnsi="Arial" w:cs="Arial"/>
                <w:b/>
                <w:bCs/>
                <w:sz w:val="16"/>
                <w:szCs w:val="16"/>
                <w:u w:val="single"/>
                <w:lang w:eastAsia="es-CL"/>
              </w:rPr>
              <w:t> </w:t>
            </w:r>
          </w:p>
        </w:tc>
        <w:tc>
          <w:tcPr>
            <w:tcW w:w="566" w:type="dxa"/>
            <w:tcBorders>
              <w:top w:val="nil"/>
              <w:left w:val="nil"/>
              <w:bottom w:val="nil"/>
              <w:right w:val="nil"/>
            </w:tcBorders>
            <w:shd w:val="clear" w:color="000000" w:fill="FFFFFF"/>
            <w:vAlign w:val="center"/>
            <w:hideMark/>
          </w:tcPr>
          <w:p w:rsidR="00F34828" w:rsidRPr="00E91F53" w:rsidRDefault="00F34828" w:rsidP="00774887">
            <w:pPr>
              <w:jc w:val="center"/>
              <w:rPr>
                <w:rFonts w:ascii="Arial" w:hAnsi="Arial" w:cs="Arial"/>
                <w:b/>
                <w:bCs/>
                <w:sz w:val="16"/>
                <w:szCs w:val="16"/>
                <w:u w:val="single"/>
                <w:lang w:eastAsia="es-CL"/>
              </w:rPr>
            </w:pPr>
            <w:r w:rsidRPr="00E91F53">
              <w:rPr>
                <w:rFonts w:ascii="Arial" w:hAnsi="Arial" w:cs="Arial"/>
                <w:b/>
                <w:bCs/>
                <w:sz w:val="16"/>
                <w:szCs w:val="16"/>
                <w:u w:val="single"/>
                <w:lang w:eastAsia="es-CL"/>
              </w:rPr>
              <w:t> </w:t>
            </w:r>
          </w:p>
        </w:tc>
        <w:tc>
          <w:tcPr>
            <w:tcW w:w="234" w:type="dxa"/>
            <w:tcBorders>
              <w:top w:val="nil"/>
              <w:left w:val="nil"/>
              <w:bottom w:val="nil"/>
              <w:right w:val="nil"/>
            </w:tcBorders>
            <w:shd w:val="clear" w:color="000000" w:fill="FFFFFF"/>
            <w:vAlign w:val="center"/>
            <w:hideMark/>
          </w:tcPr>
          <w:p w:rsidR="00F34828" w:rsidRPr="00E91F53" w:rsidRDefault="00F34828" w:rsidP="00774887">
            <w:pPr>
              <w:jc w:val="center"/>
              <w:rPr>
                <w:rFonts w:ascii="Arial" w:hAnsi="Arial" w:cs="Arial"/>
                <w:b/>
                <w:bCs/>
                <w:sz w:val="16"/>
                <w:szCs w:val="16"/>
                <w:u w:val="single"/>
                <w:lang w:eastAsia="es-CL"/>
              </w:rPr>
            </w:pPr>
            <w:r w:rsidRPr="00E91F53">
              <w:rPr>
                <w:rFonts w:ascii="Arial" w:hAnsi="Arial" w:cs="Arial"/>
                <w:b/>
                <w:bCs/>
                <w:sz w:val="16"/>
                <w:szCs w:val="16"/>
                <w:u w:val="single"/>
                <w:lang w:eastAsia="es-CL"/>
              </w:rPr>
              <w:t> </w:t>
            </w:r>
          </w:p>
        </w:tc>
        <w:tc>
          <w:tcPr>
            <w:tcW w:w="454" w:type="dxa"/>
            <w:tcBorders>
              <w:top w:val="nil"/>
              <w:left w:val="nil"/>
              <w:bottom w:val="nil"/>
              <w:right w:val="nil"/>
            </w:tcBorders>
            <w:shd w:val="clear" w:color="000000" w:fill="FFFFFF"/>
            <w:vAlign w:val="center"/>
            <w:hideMark/>
          </w:tcPr>
          <w:p w:rsidR="00F34828" w:rsidRPr="00E91F53" w:rsidRDefault="00F34828" w:rsidP="00774887">
            <w:pPr>
              <w:jc w:val="center"/>
              <w:rPr>
                <w:rFonts w:ascii="Arial" w:hAnsi="Arial" w:cs="Arial"/>
                <w:b/>
                <w:bCs/>
                <w:sz w:val="16"/>
                <w:szCs w:val="16"/>
                <w:u w:val="single"/>
                <w:lang w:eastAsia="es-CL"/>
              </w:rPr>
            </w:pPr>
            <w:r w:rsidRPr="00E91F53">
              <w:rPr>
                <w:rFonts w:ascii="Arial" w:hAnsi="Arial" w:cs="Arial"/>
                <w:b/>
                <w:bCs/>
                <w:sz w:val="16"/>
                <w:szCs w:val="16"/>
                <w:u w:val="single"/>
                <w:lang w:eastAsia="es-CL"/>
              </w:rPr>
              <w:t> </w:t>
            </w:r>
          </w:p>
        </w:tc>
        <w:tc>
          <w:tcPr>
            <w:tcW w:w="229" w:type="dxa"/>
            <w:tcBorders>
              <w:top w:val="nil"/>
              <w:left w:val="nil"/>
              <w:bottom w:val="nil"/>
              <w:right w:val="nil"/>
            </w:tcBorders>
            <w:shd w:val="clear" w:color="000000" w:fill="FFFFFF"/>
            <w:vAlign w:val="center"/>
            <w:hideMark/>
          </w:tcPr>
          <w:p w:rsidR="00F34828" w:rsidRPr="00E91F53" w:rsidRDefault="00F34828" w:rsidP="00774887">
            <w:pPr>
              <w:jc w:val="center"/>
              <w:rPr>
                <w:rFonts w:ascii="Arial" w:hAnsi="Arial" w:cs="Arial"/>
                <w:b/>
                <w:bCs/>
                <w:sz w:val="16"/>
                <w:szCs w:val="16"/>
                <w:u w:val="single"/>
                <w:lang w:eastAsia="es-CL"/>
              </w:rPr>
            </w:pPr>
            <w:r w:rsidRPr="00E91F53">
              <w:rPr>
                <w:rFonts w:ascii="Arial" w:hAnsi="Arial" w:cs="Arial"/>
                <w:b/>
                <w:bCs/>
                <w:sz w:val="16"/>
                <w:szCs w:val="16"/>
                <w:u w:val="single"/>
                <w:lang w:eastAsia="es-CL"/>
              </w:rPr>
              <w:t> </w:t>
            </w:r>
          </w:p>
        </w:tc>
        <w:tc>
          <w:tcPr>
            <w:tcW w:w="453" w:type="dxa"/>
            <w:tcBorders>
              <w:top w:val="nil"/>
              <w:left w:val="nil"/>
              <w:bottom w:val="nil"/>
              <w:right w:val="nil"/>
            </w:tcBorders>
            <w:shd w:val="clear" w:color="000000" w:fill="FFFFFF"/>
            <w:vAlign w:val="center"/>
            <w:hideMark/>
          </w:tcPr>
          <w:p w:rsidR="00F34828" w:rsidRPr="00E91F53" w:rsidRDefault="00F34828" w:rsidP="00774887">
            <w:pPr>
              <w:jc w:val="center"/>
              <w:rPr>
                <w:rFonts w:ascii="Arial" w:hAnsi="Arial" w:cs="Arial"/>
                <w:b/>
                <w:bCs/>
                <w:sz w:val="16"/>
                <w:szCs w:val="16"/>
                <w:u w:val="single"/>
                <w:lang w:eastAsia="es-CL"/>
              </w:rPr>
            </w:pPr>
            <w:r w:rsidRPr="00E91F53">
              <w:rPr>
                <w:rFonts w:ascii="Arial" w:hAnsi="Arial" w:cs="Arial"/>
                <w:b/>
                <w:bCs/>
                <w:sz w:val="16"/>
                <w:szCs w:val="16"/>
                <w:u w:val="single"/>
                <w:lang w:eastAsia="es-CL"/>
              </w:rPr>
              <w:t> </w:t>
            </w:r>
          </w:p>
        </w:tc>
        <w:tc>
          <w:tcPr>
            <w:tcW w:w="804" w:type="dxa"/>
            <w:tcBorders>
              <w:top w:val="nil"/>
              <w:left w:val="nil"/>
              <w:bottom w:val="nil"/>
              <w:right w:val="nil"/>
            </w:tcBorders>
            <w:shd w:val="clear" w:color="000000" w:fill="FFFFFF"/>
            <w:vAlign w:val="center"/>
            <w:hideMark/>
          </w:tcPr>
          <w:p w:rsidR="00F34828" w:rsidRPr="00E91F53" w:rsidRDefault="00F34828" w:rsidP="00774887">
            <w:pPr>
              <w:jc w:val="center"/>
              <w:rPr>
                <w:rFonts w:ascii="Arial" w:hAnsi="Arial" w:cs="Arial"/>
                <w:b/>
                <w:bCs/>
                <w:sz w:val="16"/>
                <w:szCs w:val="16"/>
                <w:u w:val="single"/>
                <w:lang w:eastAsia="es-CL"/>
              </w:rPr>
            </w:pPr>
            <w:r w:rsidRPr="00E91F53">
              <w:rPr>
                <w:rFonts w:ascii="Arial" w:hAnsi="Arial" w:cs="Arial"/>
                <w:b/>
                <w:bCs/>
                <w:sz w:val="16"/>
                <w:szCs w:val="16"/>
                <w:u w:val="single"/>
                <w:lang w:eastAsia="es-CL"/>
              </w:rPr>
              <w:t> </w:t>
            </w:r>
          </w:p>
        </w:tc>
        <w:tc>
          <w:tcPr>
            <w:tcW w:w="742" w:type="dxa"/>
            <w:tcBorders>
              <w:top w:val="nil"/>
              <w:left w:val="nil"/>
              <w:bottom w:val="nil"/>
              <w:right w:val="nil"/>
            </w:tcBorders>
            <w:shd w:val="clear" w:color="000000" w:fill="FFFFFF"/>
            <w:vAlign w:val="center"/>
            <w:hideMark/>
          </w:tcPr>
          <w:p w:rsidR="00F34828" w:rsidRPr="00E91F53" w:rsidRDefault="00F34828" w:rsidP="00774887">
            <w:pPr>
              <w:jc w:val="center"/>
              <w:rPr>
                <w:rFonts w:ascii="Arial" w:hAnsi="Arial" w:cs="Arial"/>
                <w:b/>
                <w:bCs/>
                <w:sz w:val="16"/>
                <w:szCs w:val="16"/>
                <w:u w:val="single"/>
                <w:lang w:eastAsia="es-CL"/>
              </w:rPr>
            </w:pPr>
            <w:r w:rsidRPr="00E91F53">
              <w:rPr>
                <w:rFonts w:ascii="Arial" w:hAnsi="Arial" w:cs="Arial"/>
                <w:b/>
                <w:bCs/>
                <w:sz w:val="16"/>
                <w:szCs w:val="16"/>
                <w:u w:val="single"/>
                <w:lang w:eastAsia="es-CL"/>
              </w:rPr>
              <w:t> </w:t>
            </w:r>
          </w:p>
        </w:tc>
      </w:tr>
      <w:tr w:rsidR="00F34828" w:rsidRPr="00E91F53" w:rsidTr="00276650">
        <w:trPr>
          <w:trHeight w:val="1413"/>
        </w:trPr>
        <w:tc>
          <w:tcPr>
            <w:tcW w:w="4533"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F34828" w:rsidRPr="000B3052" w:rsidRDefault="000B3052" w:rsidP="000B3052">
            <w:pPr>
              <w:jc w:val="both"/>
              <w:rPr>
                <w:rFonts w:ascii="Arial" w:hAnsi="Arial" w:cs="Arial"/>
                <w:sz w:val="18"/>
                <w:szCs w:val="18"/>
                <w:lang w:eastAsia="es-CL"/>
              </w:rPr>
            </w:pPr>
            <w:r w:rsidRPr="000B3052">
              <w:rPr>
                <w:rFonts w:ascii="Arial" w:hAnsi="Arial" w:cs="Arial"/>
                <w:sz w:val="18"/>
                <w:szCs w:val="18"/>
                <w:lang w:eastAsia="es-CL"/>
              </w:rPr>
              <w:t xml:space="preserve">A los </w:t>
            </w:r>
            <w:r w:rsidR="00F34828" w:rsidRPr="000B3052">
              <w:rPr>
                <w:rFonts w:ascii="Arial" w:hAnsi="Arial" w:cs="Arial"/>
                <w:sz w:val="18"/>
                <w:szCs w:val="18"/>
                <w:lang w:eastAsia="es-CL"/>
              </w:rPr>
              <w:t>E</w:t>
            </w:r>
            <w:r w:rsidR="00FA4442" w:rsidRPr="000B3052">
              <w:rPr>
                <w:rFonts w:ascii="Arial" w:hAnsi="Arial" w:cs="Arial"/>
                <w:sz w:val="18"/>
                <w:szCs w:val="18"/>
                <w:lang w:eastAsia="es-CL"/>
              </w:rPr>
              <w:t>M</w:t>
            </w:r>
            <w:r w:rsidR="00F34828" w:rsidRPr="000B3052">
              <w:rPr>
                <w:rFonts w:ascii="Arial" w:hAnsi="Arial" w:cs="Arial"/>
                <w:sz w:val="18"/>
                <w:szCs w:val="18"/>
                <w:lang w:eastAsia="es-CL"/>
              </w:rPr>
              <w:t xml:space="preserve"> cuyas ventas anuales determinadas conforme a la letra d) del Art. 64 bis de la LIR, excedan al valor equivalente a 50.000 </w:t>
            </w:r>
            <w:r w:rsidR="00FA4442" w:rsidRPr="000B3052">
              <w:rPr>
                <w:rFonts w:ascii="Arial" w:hAnsi="Arial" w:cs="Arial"/>
                <w:sz w:val="18"/>
                <w:szCs w:val="18"/>
                <w:lang w:eastAsia="es-CL"/>
              </w:rPr>
              <w:t>TMCF</w:t>
            </w:r>
            <w:r w:rsidR="00F34828" w:rsidRPr="000B3052">
              <w:rPr>
                <w:rFonts w:ascii="Arial" w:hAnsi="Arial" w:cs="Arial"/>
                <w:sz w:val="18"/>
                <w:szCs w:val="18"/>
                <w:lang w:eastAsia="es-CL"/>
              </w:rPr>
              <w:t xml:space="preserve">, y que se acojan a lo dispuesto en el artículo </w:t>
            </w:r>
            <w:r w:rsidR="00FA4442" w:rsidRPr="000B3052">
              <w:rPr>
                <w:rFonts w:ascii="Arial" w:hAnsi="Arial" w:cs="Arial"/>
                <w:sz w:val="18"/>
                <w:szCs w:val="18"/>
                <w:lang w:eastAsia="es-CL"/>
              </w:rPr>
              <w:t xml:space="preserve">2° </w:t>
            </w:r>
            <w:r w:rsidR="00F34828" w:rsidRPr="000B3052">
              <w:rPr>
                <w:rFonts w:ascii="Arial" w:hAnsi="Arial" w:cs="Arial"/>
                <w:sz w:val="18"/>
                <w:szCs w:val="18"/>
                <w:lang w:eastAsia="es-CL"/>
              </w:rPr>
              <w:t xml:space="preserve">transitorio de la Ley 20.469, se les aplicará una tasa correspondiente al MOM, de acuerdo a las siguientes tablas: </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4522"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F34828" w:rsidRPr="00E91F53" w:rsidRDefault="000B3052" w:rsidP="00774887">
            <w:pPr>
              <w:jc w:val="both"/>
              <w:rPr>
                <w:rFonts w:ascii="Arial" w:hAnsi="Arial" w:cs="Arial"/>
                <w:sz w:val="16"/>
                <w:szCs w:val="16"/>
                <w:lang w:eastAsia="es-CL"/>
              </w:rPr>
            </w:pPr>
            <w:r w:rsidRPr="000B3052">
              <w:rPr>
                <w:rFonts w:ascii="Arial" w:hAnsi="Arial" w:cs="Arial"/>
                <w:sz w:val="18"/>
                <w:szCs w:val="18"/>
                <w:lang w:eastAsia="es-CL"/>
              </w:rPr>
              <w:t>A los EM cuyas ventas anuales determinadas conforme a la letra d) del Art. 64 bis de la LIR, excedan al valor equivalente a 50.000 TMCF, y que se acojan a lo dispuesto en el artículo 2° transitorio de la Ley 20.469, se les aplicará una tasa correspondiente al MOM, de acuerdo a las siguientes tablas:</w:t>
            </w:r>
          </w:p>
        </w:tc>
      </w:tr>
      <w:tr w:rsidR="00F34828" w:rsidRPr="00E91F53" w:rsidTr="00276650">
        <w:trPr>
          <w:trHeight w:val="837"/>
        </w:trPr>
        <w:tc>
          <w:tcPr>
            <w:tcW w:w="1617" w:type="dxa"/>
            <w:gridSpan w:val="4"/>
            <w:tcBorders>
              <w:top w:val="single" w:sz="8" w:space="0" w:color="auto"/>
              <w:left w:val="single" w:sz="8" w:space="0" w:color="auto"/>
              <w:bottom w:val="single" w:sz="8" w:space="0" w:color="auto"/>
              <w:right w:val="single" w:sz="8" w:space="0" w:color="000000"/>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1: Margen operacional minero (antes de rebajar IEAM)</w:t>
            </w:r>
          </w:p>
        </w:tc>
        <w:tc>
          <w:tcPr>
            <w:tcW w:w="1371" w:type="dxa"/>
            <w:gridSpan w:val="4"/>
            <w:tcBorders>
              <w:top w:val="single" w:sz="8" w:space="0" w:color="auto"/>
              <w:left w:val="nil"/>
              <w:bottom w:val="single" w:sz="8" w:space="0" w:color="auto"/>
              <w:right w:val="single" w:sz="4" w:space="0" w:color="auto"/>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2: Margen operacional minero</w:t>
            </w:r>
          </w:p>
        </w:tc>
        <w:tc>
          <w:tcPr>
            <w:tcW w:w="804" w:type="dxa"/>
            <w:tcBorders>
              <w:top w:val="nil"/>
              <w:left w:val="single" w:sz="8" w:space="0" w:color="auto"/>
              <w:bottom w:val="single" w:sz="8" w:space="0" w:color="auto"/>
              <w:right w:val="single" w:sz="4" w:space="0" w:color="auto"/>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3: Tasa  Marginal</w:t>
            </w:r>
          </w:p>
        </w:tc>
        <w:tc>
          <w:tcPr>
            <w:tcW w:w="741" w:type="dxa"/>
            <w:tcBorders>
              <w:top w:val="nil"/>
              <w:left w:val="nil"/>
              <w:bottom w:val="single" w:sz="8" w:space="0" w:color="auto"/>
              <w:right w:val="single" w:sz="8" w:space="0" w:color="auto"/>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4: Tasa efectiva</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1606" w:type="dxa"/>
            <w:gridSpan w:val="4"/>
            <w:tcBorders>
              <w:top w:val="single" w:sz="8" w:space="0" w:color="auto"/>
              <w:left w:val="single" w:sz="8" w:space="0" w:color="auto"/>
              <w:bottom w:val="single" w:sz="8" w:space="0" w:color="auto"/>
              <w:right w:val="single" w:sz="8" w:space="0" w:color="000000"/>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1: Margen operacional minero (antes de rebajar IEAM)</w:t>
            </w:r>
          </w:p>
        </w:tc>
        <w:tc>
          <w:tcPr>
            <w:tcW w:w="1370" w:type="dxa"/>
            <w:gridSpan w:val="4"/>
            <w:tcBorders>
              <w:top w:val="single" w:sz="8" w:space="0" w:color="auto"/>
              <w:left w:val="nil"/>
              <w:bottom w:val="single" w:sz="8" w:space="0" w:color="auto"/>
              <w:right w:val="single" w:sz="4" w:space="0" w:color="auto"/>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2: Margen operacional minero</w:t>
            </w:r>
          </w:p>
        </w:tc>
        <w:tc>
          <w:tcPr>
            <w:tcW w:w="804" w:type="dxa"/>
            <w:tcBorders>
              <w:top w:val="nil"/>
              <w:left w:val="single" w:sz="8" w:space="0" w:color="auto"/>
              <w:bottom w:val="single" w:sz="8" w:space="0" w:color="auto"/>
              <w:right w:val="single" w:sz="4" w:space="0" w:color="auto"/>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3: Tasa  Marginal</w:t>
            </w:r>
          </w:p>
        </w:tc>
        <w:tc>
          <w:tcPr>
            <w:tcW w:w="742" w:type="dxa"/>
            <w:tcBorders>
              <w:top w:val="nil"/>
              <w:left w:val="nil"/>
              <w:bottom w:val="single" w:sz="8" w:space="0" w:color="auto"/>
              <w:right w:val="single" w:sz="8" w:space="0" w:color="auto"/>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4: Tasa efectiva</w:t>
            </w:r>
          </w:p>
        </w:tc>
      </w:tr>
      <w:tr w:rsidR="00F34828" w:rsidRPr="00E91F53" w:rsidTr="00276650">
        <w:trPr>
          <w:trHeight w:val="240"/>
        </w:trPr>
        <w:tc>
          <w:tcPr>
            <w:tcW w:w="234" w:type="dxa"/>
            <w:tcBorders>
              <w:top w:val="nil"/>
              <w:left w:val="single" w:sz="8" w:space="0" w:color="auto"/>
              <w:bottom w:val="single" w:sz="8"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 </w:t>
            </w:r>
          </w:p>
        </w:tc>
        <w:tc>
          <w:tcPr>
            <w:tcW w:w="577" w:type="dxa"/>
            <w:tcBorders>
              <w:top w:val="nil"/>
              <w:left w:val="nil"/>
              <w:bottom w:val="single" w:sz="8"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0,00</w:t>
            </w:r>
          </w:p>
        </w:tc>
        <w:tc>
          <w:tcPr>
            <w:tcW w:w="229" w:type="dxa"/>
            <w:tcBorders>
              <w:top w:val="nil"/>
              <w:left w:val="nil"/>
              <w:bottom w:val="single" w:sz="8"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 </w:t>
            </w:r>
          </w:p>
        </w:tc>
        <w:tc>
          <w:tcPr>
            <w:tcW w:w="577" w:type="dxa"/>
            <w:tcBorders>
              <w:top w:val="nil"/>
              <w:left w:val="nil"/>
              <w:bottom w:val="single" w:sz="8"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41,60</w:t>
            </w:r>
          </w:p>
        </w:tc>
        <w:tc>
          <w:tcPr>
            <w:tcW w:w="234"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 </w:t>
            </w:r>
          </w:p>
        </w:tc>
        <w:tc>
          <w:tcPr>
            <w:tcW w:w="455"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0</w:t>
            </w:r>
          </w:p>
        </w:tc>
        <w:tc>
          <w:tcPr>
            <w:tcW w:w="229"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8"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w:t>
            </w:r>
          </w:p>
        </w:tc>
        <w:tc>
          <w:tcPr>
            <w:tcW w:w="804" w:type="dxa"/>
            <w:tcBorders>
              <w:top w:val="nil"/>
              <w:left w:val="single" w:sz="8" w:space="0" w:color="auto"/>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4,00%</w:t>
            </w:r>
          </w:p>
        </w:tc>
        <w:tc>
          <w:tcPr>
            <w:tcW w:w="741" w:type="dxa"/>
            <w:tcBorders>
              <w:top w:val="nil"/>
              <w:left w:val="nil"/>
              <w:bottom w:val="single" w:sz="8"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4,00%</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single" w:sz="4" w:space="0" w:color="auto"/>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single" w:sz="4" w:space="0" w:color="auto"/>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45,83</w:t>
            </w:r>
          </w:p>
        </w:tc>
        <w:tc>
          <w:tcPr>
            <w:tcW w:w="229" w:type="dxa"/>
            <w:tcBorders>
              <w:top w:val="single" w:sz="4" w:space="0" w:color="auto"/>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single" w:sz="4" w:space="0" w:color="auto"/>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45,94</w:t>
            </w:r>
          </w:p>
        </w:tc>
        <w:tc>
          <w:tcPr>
            <w:tcW w:w="234" w:type="dxa"/>
            <w:tcBorders>
              <w:top w:val="single" w:sz="4" w:space="0" w:color="auto"/>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single" w:sz="4" w:space="0" w:color="auto"/>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43,9</w:t>
            </w:r>
          </w:p>
        </w:tc>
        <w:tc>
          <w:tcPr>
            <w:tcW w:w="229" w:type="dxa"/>
            <w:tcBorders>
              <w:top w:val="single" w:sz="4" w:space="0" w:color="auto"/>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single" w:sz="4" w:space="0" w:color="auto"/>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44,0</w:t>
            </w:r>
          </w:p>
        </w:tc>
        <w:tc>
          <w:tcPr>
            <w:tcW w:w="804" w:type="dxa"/>
            <w:tcBorders>
              <w:top w:val="single" w:sz="4" w:space="0" w:color="auto"/>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2" w:type="dxa"/>
            <w:tcBorders>
              <w:top w:val="single" w:sz="4" w:space="0" w:color="auto"/>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4,41%</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41,60</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41,71</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 </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40,0</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40,1</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4,01%</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45,94</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46,05</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44,0</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44,1</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4,42%</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41,71</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41,82</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40,1</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40,2</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4,02%</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46,05</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46,16</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44,1</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44,2</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4,43%</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41,82</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41,93</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40,2</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40,3</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4,03%</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46,16</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46,27</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44,2</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44,3</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4,44%</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41,93</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42,03</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40,3</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40,4</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4,04%</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46,27</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46,37</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44,3</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44,4</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4,45%</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42,03</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42,14</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40,4</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40,5</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4,06%</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46,37</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46,48</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44,4</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44,5</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4,46%</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42,14</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42,25</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40,5</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40,6</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4,07%</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46,48</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46,59</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44,5</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44,6</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4,46%</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42,25</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42,36</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40,6</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40,7</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4,08%</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46,59</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46,70</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44,6</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44,7</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4,47%</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42,36</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42,47</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40,7</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40,8</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4,09%</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46,70</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46,81</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44,7</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44,8</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4,48%</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42,47</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42,58</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40,8</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40,9</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4,10%</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46,81</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46,92</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44,8</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44,9</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4,49%</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42,58</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42,69</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40,9</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41,0</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4,11%</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46,92</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47,03</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44,9</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45,0</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4,50%</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42,69</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42,79</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41,0</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41,1</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4,12%</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47,03</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47,14</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45,0</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45,1</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4,52%</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42,79</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42,90</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41,1</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41,2</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4,13%</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47,14</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47,25</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45,1</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45,2</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4,53%</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42,90</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43,01</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41,2</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41,3</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4,14%</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47,25</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47,36</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45,2</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45,3</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4,55%</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43,01</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43,12</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41,3</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41,4</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4,15%</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47,36</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47,47</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45,3</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45,4</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4,57%</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43,12</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43,23</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41,4</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41,5</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4,16%</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47,47</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47,59</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45,4</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45,5</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4,58%</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43,23</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43,34</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41,5</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41,6</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4,17%</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47,59</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47,70</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45,5</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45,6</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4,60%</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43,34</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43,44</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41,6</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41,7</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4,18%</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47,70</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47,81</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45,6</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45,7</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4,61%</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43,44</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43,55</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41,7</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41,8</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4,19%</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47,81</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47,92</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45,7</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45,8</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4,63%</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43,55</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43,66</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41,8</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41,9</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4,20%</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47,92</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48,03</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45,8</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45,9</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4,65%</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43,66</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43,77</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41,9</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42,0</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4,21%</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48,03</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48,15</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45,9</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46,0</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4,66%</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43,77</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43,88</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42,0</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42,1</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4,22%</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48,15</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48,26</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46,0</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46,1</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4,68%</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43,88</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43,99</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42,1</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42,2</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4,23%</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48,26</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48,37</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46,1</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46,2</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4,69%</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43,99</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44,10</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42,2</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42,3</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4,24%</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48,37</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48,48</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46,2</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46,3</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4,71%</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44,10</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44,20</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42,3</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42,4</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4,25%</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48,48</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48,59</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46,3</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46,4</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4,73%</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44,20</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44,31</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42,4</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42,5</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4,26%</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48,59</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48,71</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46,4</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46,5</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4,74%</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44,31</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44,42</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42,5</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42,6</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4,27%</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48,71</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48,82</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46,5</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46,6</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4,76%</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44,42</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44,53</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42,6</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42,7</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4,28%</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48,82</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48,93</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46,6</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46,7</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4,77%</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44,53</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44,64</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42,7</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42,8</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4,29%</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48,93</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49,04</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46,7</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46,8</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4,79%</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44,64</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44,75</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42,8</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42,9</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4,30%</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49,04</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49,15</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46,8</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46,9</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4,80%</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44,75</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44,86</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42,9</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43,0</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4,31%</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49,15</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49,27</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46,9</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47,0</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4,82%</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44,86</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44,96</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43,0</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43,1</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4,32%</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49,27</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49,38</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47,0</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47,1</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4,83%</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44,96</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45,07</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43,1</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43,2</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4,33%</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49,38</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49,49</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47,1</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47,2</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4,85%</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45,07</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45,18</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43,2</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43,3</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4,34%</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49,49</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49,60</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47,2</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47,3</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4,86%</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45,18</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45,29</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43,3</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43,4</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4,35%</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49,60</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49,71</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47,3</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47,4</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4,88%</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45,29</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45,40</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43,4</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43,5</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4,36%</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49,71</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49,83</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47,4</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47,5</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4,89%</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45,40</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45,51</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43,5</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43,6</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4,37%</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49,83</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49,94</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47,5</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47,6</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4,91%</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45,51</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45,61</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43,6</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43,7</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4,38%</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49,94</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50,05</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47,6</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47,7</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4,92%</w:t>
            </w:r>
          </w:p>
        </w:tc>
      </w:tr>
      <w:tr w:rsidR="00F34828" w:rsidRPr="00E91F53" w:rsidTr="00276650">
        <w:trPr>
          <w:trHeight w:val="225"/>
        </w:trPr>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45,61</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45,72</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43,7</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43,8</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4,39%</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50,05</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50,16</w:t>
            </w:r>
          </w:p>
        </w:tc>
        <w:tc>
          <w:tcPr>
            <w:tcW w:w="23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47,7</w:t>
            </w:r>
          </w:p>
        </w:tc>
        <w:tc>
          <w:tcPr>
            <w:tcW w:w="229"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47,8</w:t>
            </w:r>
          </w:p>
        </w:tc>
        <w:tc>
          <w:tcPr>
            <w:tcW w:w="804"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4,94%</w:t>
            </w:r>
          </w:p>
        </w:tc>
      </w:tr>
      <w:tr w:rsidR="00F34828" w:rsidRPr="00E91F53" w:rsidTr="00276650">
        <w:trPr>
          <w:trHeight w:val="240"/>
        </w:trPr>
        <w:tc>
          <w:tcPr>
            <w:tcW w:w="234" w:type="dxa"/>
            <w:tcBorders>
              <w:top w:val="nil"/>
              <w:left w:val="single" w:sz="8" w:space="0" w:color="auto"/>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w:t>
            </w:r>
          </w:p>
        </w:tc>
        <w:tc>
          <w:tcPr>
            <w:tcW w:w="577" w:type="dxa"/>
            <w:tcBorders>
              <w:top w:val="nil"/>
              <w:left w:val="nil"/>
              <w:bottom w:val="single" w:sz="8"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45,72</w:t>
            </w:r>
          </w:p>
        </w:tc>
        <w:tc>
          <w:tcPr>
            <w:tcW w:w="229"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77" w:type="dxa"/>
            <w:tcBorders>
              <w:top w:val="nil"/>
              <w:left w:val="nil"/>
              <w:bottom w:val="single" w:sz="8"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45,83</w:t>
            </w:r>
          </w:p>
        </w:tc>
        <w:tc>
          <w:tcPr>
            <w:tcW w:w="234"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5"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43,8</w:t>
            </w:r>
          </w:p>
        </w:tc>
        <w:tc>
          <w:tcPr>
            <w:tcW w:w="229"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8"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43,9</w:t>
            </w:r>
          </w:p>
        </w:tc>
        <w:tc>
          <w:tcPr>
            <w:tcW w:w="804" w:type="dxa"/>
            <w:tcBorders>
              <w:top w:val="nil"/>
              <w:left w:val="single" w:sz="8" w:space="0" w:color="auto"/>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c>
          <w:tcPr>
            <w:tcW w:w="741" w:type="dxa"/>
            <w:tcBorders>
              <w:top w:val="nil"/>
              <w:left w:val="nil"/>
              <w:bottom w:val="single" w:sz="8"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4,40%</w:t>
            </w:r>
          </w:p>
        </w:tc>
        <w:tc>
          <w:tcPr>
            <w:tcW w:w="185"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4" w:type="dxa"/>
            <w:tcBorders>
              <w:top w:val="nil"/>
              <w:left w:val="single" w:sz="8" w:space="0" w:color="auto"/>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577" w:type="dxa"/>
            <w:tcBorders>
              <w:top w:val="nil"/>
              <w:left w:val="nil"/>
              <w:bottom w:val="single" w:sz="8"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50,16</w:t>
            </w:r>
          </w:p>
        </w:tc>
        <w:tc>
          <w:tcPr>
            <w:tcW w:w="229"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566" w:type="dxa"/>
            <w:tcBorders>
              <w:top w:val="nil"/>
              <w:left w:val="nil"/>
              <w:bottom w:val="single" w:sz="8"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50,27</w:t>
            </w:r>
          </w:p>
        </w:tc>
        <w:tc>
          <w:tcPr>
            <w:tcW w:w="234"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454"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47,8</w:t>
            </w:r>
          </w:p>
        </w:tc>
        <w:tc>
          <w:tcPr>
            <w:tcW w:w="229"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53" w:type="dxa"/>
            <w:tcBorders>
              <w:top w:val="nil"/>
              <w:left w:val="nil"/>
              <w:bottom w:val="single" w:sz="8"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47,9</w:t>
            </w:r>
          </w:p>
        </w:tc>
        <w:tc>
          <w:tcPr>
            <w:tcW w:w="804" w:type="dxa"/>
            <w:tcBorders>
              <w:top w:val="nil"/>
              <w:left w:val="single" w:sz="8" w:space="0" w:color="auto"/>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742" w:type="dxa"/>
            <w:tcBorders>
              <w:top w:val="nil"/>
              <w:left w:val="nil"/>
              <w:bottom w:val="single" w:sz="8"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4,95%</w:t>
            </w:r>
          </w:p>
        </w:tc>
      </w:tr>
    </w:tbl>
    <w:p w:rsidR="00F34828" w:rsidRDefault="00F34828" w:rsidP="00F34828"/>
    <w:p w:rsidR="00F34828" w:rsidRDefault="00F34828" w:rsidP="00F34828"/>
    <w:tbl>
      <w:tblPr>
        <w:tblW w:w="9240" w:type="dxa"/>
        <w:tblInd w:w="52" w:type="dxa"/>
        <w:tblCellMar>
          <w:left w:w="70" w:type="dxa"/>
          <w:right w:w="70" w:type="dxa"/>
        </w:tblCellMar>
        <w:tblLook w:val="04A0" w:firstRow="1" w:lastRow="0" w:firstColumn="1" w:lastColumn="0" w:noHBand="0" w:noVBand="1"/>
      </w:tblPr>
      <w:tblGrid>
        <w:gridCol w:w="239"/>
        <w:gridCol w:w="541"/>
        <w:gridCol w:w="230"/>
        <w:gridCol w:w="541"/>
        <w:gridCol w:w="234"/>
        <w:gridCol w:w="464"/>
        <w:gridCol w:w="229"/>
        <w:gridCol w:w="457"/>
        <w:gridCol w:w="809"/>
        <w:gridCol w:w="746"/>
        <w:gridCol w:w="260"/>
        <w:gridCol w:w="234"/>
        <w:gridCol w:w="541"/>
        <w:gridCol w:w="230"/>
        <w:gridCol w:w="541"/>
        <w:gridCol w:w="234"/>
        <w:gridCol w:w="460"/>
        <w:gridCol w:w="236"/>
        <w:gridCol w:w="457"/>
        <w:gridCol w:w="808"/>
        <w:gridCol w:w="749"/>
      </w:tblGrid>
      <w:tr w:rsidR="00F34828" w:rsidRPr="00E91F53" w:rsidTr="00774887">
        <w:trPr>
          <w:trHeight w:val="1251"/>
        </w:trPr>
        <w:tc>
          <w:tcPr>
            <w:tcW w:w="4482"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F34828" w:rsidRPr="00E91F53" w:rsidRDefault="000B3052" w:rsidP="00774887">
            <w:pPr>
              <w:jc w:val="both"/>
              <w:rPr>
                <w:rFonts w:ascii="Arial" w:hAnsi="Arial" w:cs="Arial"/>
                <w:sz w:val="16"/>
                <w:szCs w:val="16"/>
                <w:lang w:eastAsia="es-CL"/>
              </w:rPr>
            </w:pPr>
            <w:r w:rsidRPr="000B3052">
              <w:rPr>
                <w:rFonts w:ascii="Arial" w:hAnsi="Arial" w:cs="Arial"/>
                <w:sz w:val="18"/>
                <w:szCs w:val="18"/>
                <w:lang w:eastAsia="es-CL"/>
              </w:rPr>
              <w:t>A los EM cuyas ventas anuales determinadas conforme a la letra d) del Art. 64 bis de la LIR, excedan al valor equivalente a 50.000 TMCF, y que se acojan a lo dispuesto en el artículo 2° transitorio de la Ley 20.469, se les aplicará una tasa correspondiente al MOM, de acuerdo a las siguientes tablas:</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4498"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F34828" w:rsidRPr="00E91F53" w:rsidRDefault="000B3052" w:rsidP="00774887">
            <w:pPr>
              <w:jc w:val="both"/>
              <w:rPr>
                <w:rFonts w:ascii="Arial" w:hAnsi="Arial" w:cs="Arial"/>
                <w:sz w:val="16"/>
                <w:szCs w:val="16"/>
                <w:lang w:eastAsia="es-CL"/>
              </w:rPr>
            </w:pPr>
            <w:r w:rsidRPr="000B3052">
              <w:rPr>
                <w:rFonts w:ascii="Arial" w:hAnsi="Arial" w:cs="Arial"/>
                <w:sz w:val="18"/>
                <w:szCs w:val="18"/>
                <w:lang w:eastAsia="es-CL"/>
              </w:rPr>
              <w:t>A los EM cuyas ventas anuales determinadas conforme a la letra d) del Art. 64 bis de la LIR, excedan al valor equivalente a 50.000 TMCF, y que se acojan a lo dispuesto en el artículo 2° transitorio de la Ley 20.469, se les aplicará una tasa correspondiente al MOM, de acuerdo a las siguientes tablas:</w:t>
            </w:r>
          </w:p>
        </w:tc>
      </w:tr>
      <w:tr w:rsidR="00F34828" w:rsidRPr="00E91F53" w:rsidTr="00774887">
        <w:trPr>
          <w:trHeight w:val="885"/>
        </w:trPr>
        <w:tc>
          <w:tcPr>
            <w:tcW w:w="1374" w:type="dxa"/>
            <w:gridSpan w:val="4"/>
            <w:tcBorders>
              <w:top w:val="single" w:sz="8" w:space="0" w:color="auto"/>
              <w:left w:val="single" w:sz="8" w:space="0" w:color="auto"/>
              <w:bottom w:val="single" w:sz="8" w:space="0" w:color="auto"/>
              <w:right w:val="single" w:sz="8" w:space="0" w:color="000000"/>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1: Margen operacional minero (antes de rebajar IEAM)</w:t>
            </w:r>
          </w:p>
        </w:tc>
        <w:tc>
          <w:tcPr>
            <w:tcW w:w="1438" w:type="dxa"/>
            <w:gridSpan w:val="4"/>
            <w:tcBorders>
              <w:top w:val="single" w:sz="8" w:space="0" w:color="auto"/>
              <w:left w:val="nil"/>
              <w:bottom w:val="single" w:sz="8" w:space="0" w:color="auto"/>
              <w:right w:val="single" w:sz="4" w:space="0" w:color="auto"/>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2: Margen operacional minero</w:t>
            </w:r>
          </w:p>
        </w:tc>
        <w:tc>
          <w:tcPr>
            <w:tcW w:w="867" w:type="dxa"/>
            <w:tcBorders>
              <w:top w:val="nil"/>
              <w:left w:val="single" w:sz="8" w:space="0" w:color="auto"/>
              <w:bottom w:val="single" w:sz="8" w:space="0" w:color="auto"/>
              <w:right w:val="single" w:sz="4" w:space="0" w:color="auto"/>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3: Tasa  Marginal</w:t>
            </w:r>
          </w:p>
        </w:tc>
        <w:tc>
          <w:tcPr>
            <w:tcW w:w="803" w:type="dxa"/>
            <w:tcBorders>
              <w:top w:val="nil"/>
              <w:left w:val="nil"/>
              <w:bottom w:val="single" w:sz="8" w:space="0" w:color="auto"/>
              <w:right w:val="single" w:sz="8" w:space="0" w:color="auto"/>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4: Tasa efectiva</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1345" w:type="dxa"/>
            <w:gridSpan w:val="4"/>
            <w:tcBorders>
              <w:top w:val="single" w:sz="8" w:space="0" w:color="auto"/>
              <w:left w:val="single" w:sz="8" w:space="0" w:color="auto"/>
              <w:bottom w:val="single" w:sz="8" w:space="0" w:color="auto"/>
              <w:right w:val="single" w:sz="8" w:space="0" w:color="000000"/>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1: Margen operacional minero (antes de rebajar IEAM)</w:t>
            </w:r>
          </w:p>
        </w:tc>
        <w:tc>
          <w:tcPr>
            <w:tcW w:w="1471" w:type="dxa"/>
            <w:gridSpan w:val="4"/>
            <w:tcBorders>
              <w:top w:val="single" w:sz="8" w:space="0" w:color="auto"/>
              <w:left w:val="nil"/>
              <w:bottom w:val="single" w:sz="8" w:space="0" w:color="auto"/>
              <w:right w:val="single" w:sz="4" w:space="0" w:color="auto"/>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2: Margen operacional minero</w:t>
            </w:r>
          </w:p>
        </w:tc>
        <w:tc>
          <w:tcPr>
            <w:tcW w:w="862" w:type="dxa"/>
            <w:tcBorders>
              <w:top w:val="nil"/>
              <w:left w:val="single" w:sz="8" w:space="0" w:color="auto"/>
              <w:bottom w:val="single" w:sz="8" w:space="0" w:color="auto"/>
              <w:right w:val="single" w:sz="4" w:space="0" w:color="auto"/>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3: Tasa  Marginal</w:t>
            </w:r>
          </w:p>
        </w:tc>
        <w:tc>
          <w:tcPr>
            <w:tcW w:w="820" w:type="dxa"/>
            <w:tcBorders>
              <w:top w:val="nil"/>
              <w:left w:val="nil"/>
              <w:bottom w:val="single" w:sz="8" w:space="0" w:color="auto"/>
              <w:right w:val="single" w:sz="8" w:space="0" w:color="auto"/>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4: Tasa efectiva</w:t>
            </w:r>
          </w:p>
        </w:tc>
      </w:tr>
      <w:tr w:rsidR="00F34828" w:rsidRPr="00E91F53" w:rsidTr="00774887">
        <w:trPr>
          <w:trHeight w:val="225"/>
        </w:trPr>
        <w:tc>
          <w:tcPr>
            <w:tcW w:w="262" w:type="dxa"/>
            <w:tcBorders>
              <w:top w:val="single" w:sz="4" w:space="0" w:color="auto"/>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single" w:sz="4" w:space="0" w:color="auto"/>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50,27</w:t>
            </w:r>
          </w:p>
        </w:tc>
        <w:tc>
          <w:tcPr>
            <w:tcW w:w="237" w:type="dxa"/>
            <w:tcBorders>
              <w:top w:val="single" w:sz="4" w:space="0" w:color="auto"/>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single" w:sz="4" w:space="0" w:color="auto"/>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50,39</w:t>
            </w:r>
          </w:p>
        </w:tc>
        <w:tc>
          <w:tcPr>
            <w:tcW w:w="212" w:type="dxa"/>
            <w:tcBorders>
              <w:top w:val="single" w:sz="4" w:space="0" w:color="auto"/>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single" w:sz="4" w:space="0" w:color="auto"/>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47,9</w:t>
            </w:r>
          </w:p>
        </w:tc>
        <w:tc>
          <w:tcPr>
            <w:tcW w:w="212" w:type="dxa"/>
            <w:tcBorders>
              <w:top w:val="single" w:sz="4" w:space="0" w:color="auto"/>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single" w:sz="4" w:space="0" w:color="auto"/>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48,0</w:t>
            </w:r>
          </w:p>
        </w:tc>
        <w:tc>
          <w:tcPr>
            <w:tcW w:w="867" w:type="dxa"/>
            <w:tcBorders>
              <w:top w:val="single" w:sz="4" w:space="0" w:color="auto"/>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803" w:type="dxa"/>
            <w:tcBorders>
              <w:top w:val="single" w:sz="4" w:space="0" w:color="auto"/>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4,97%</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single" w:sz="4" w:space="0" w:color="auto"/>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single" w:sz="4" w:space="0" w:color="auto"/>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54,78</w:t>
            </w:r>
          </w:p>
        </w:tc>
        <w:tc>
          <w:tcPr>
            <w:tcW w:w="235" w:type="dxa"/>
            <w:tcBorders>
              <w:top w:val="single" w:sz="4" w:space="0" w:color="auto"/>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single" w:sz="4" w:space="0" w:color="auto"/>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54,90</w:t>
            </w:r>
          </w:p>
        </w:tc>
        <w:tc>
          <w:tcPr>
            <w:tcW w:w="211" w:type="dxa"/>
            <w:tcBorders>
              <w:top w:val="single" w:sz="4" w:space="0" w:color="auto"/>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single" w:sz="4" w:space="0" w:color="auto"/>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51,9</w:t>
            </w:r>
          </w:p>
        </w:tc>
        <w:tc>
          <w:tcPr>
            <w:tcW w:w="273" w:type="dxa"/>
            <w:tcBorders>
              <w:top w:val="single" w:sz="4" w:space="0" w:color="auto"/>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single" w:sz="4" w:space="0" w:color="auto"/>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52,0</w:t>
            </w:r>
          </w:p>
        </w:tc>
        <w:tc>
          <w:tcPr>
            <w:tcW w:w="862" w:type="dxa"/>
            <w:tcBorders>
              <w:top w:val="single" w:sz="4" w:space="0" w:color="auto"/>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single" w:sz="4" w:space="0" w:color="auto"/>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5,57%</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50,39</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50,50</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48,0</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48,1</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4,98%</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54,90</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55,01</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52,0</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52,1</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5,58%</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50,50</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50,61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48,2</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5,00%</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55,01</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55,12</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52,1</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52,2</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5,60%</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50,61</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50,72</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48,2</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48,3</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5,01%</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55,12</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55,24</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52,2</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52,3</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5,61%</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50,72</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50,83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48,4</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5,03%</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55,24</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55,35</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52,3</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52,4</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5,63%</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50,83</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50,95</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48,4</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48,5</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5,04%</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55,35</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55,46</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52,4</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52,5</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5,64%</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50,95</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51,06</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48,5</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48,6</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5,06%</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55,46</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55,58</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52,5</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52,6</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5,66%</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51,06</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51,17</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48,6</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48,7</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5,07%</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55,58</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55,69</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52,6</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52,7</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5,67%</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51,17</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51,28</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48,7</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48,8</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5,08%</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55,69</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55,80</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52,7</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52,8</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5,69%</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51,28</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51,39</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48,8</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48,9</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5,10%</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55,80</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55,92</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52,8</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52,9</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5,70%</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51,39</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51,51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48,9</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49,0</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5,11%</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55,92</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56,03</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52,9</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53,0</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5,72%</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51,51</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51,62</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49,0</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49,1</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5,13%</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56,03</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56,14</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53,0</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53,1</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5,73%</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51,62</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51,73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49,2</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5,14%</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56,14</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56,26</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53,1</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53,2</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5,75%</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51,73</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51,84</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49,2</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49,3</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5,15%</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56,26</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56,37</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53,2</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53,3</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5,76%</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51,84</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51,95</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49,4</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5,17%</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56,37</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56,48</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53,3</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53,4</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5,78%</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51,95</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52,07</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49,4</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49,5</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5,18%</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56,48</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56,60</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53,4</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53,5</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5,79%</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52,07</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52,18</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49,5</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49,6</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5,20%</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56,60</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56,71</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53,5</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53,6</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5,80%</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52,18</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52,29</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49,6</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49,7</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5,21%</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56,71</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56,82</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53,6</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53,7</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5,82%</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52,29</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52,40</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49,7</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49,8</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5,22%</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56,82</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56,94</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53,7</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53,8</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5,83%</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52,40</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52,51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49,8</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49,9</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5,24%</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56,94</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57,05</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53,8</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53,9</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5,85%</w:t>
            </w:r>
          </w:p>
        </w:tc>
      </w:tr>
      <w:tr w:rsidR="00F34828" w:rsidRPr="00E91F53" w:rsidTr="00774887">
        <w:trPr>
          <w:trHeight w:val="240"/>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52,51</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52,63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49,9</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50,0</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12,00%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5,25%</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57,05</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57,17</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53,9</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54,0</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5,86%</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52,63</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52,74</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50,0</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50,1</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5,27%</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57,17</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57,28</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54,0</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54,1</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5,88%</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52,74</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52,85</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50,2</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5,28%</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57,28</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57,39</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54,1</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54,2</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5,89%</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52,85</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52,97</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50,2</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50,3</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5,30%</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57,39</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57,51</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54,2</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54,3</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5,90%</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52,97</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53,08</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50,4</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5,32%</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57,51</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57,62</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54,3</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54,4</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5,92%</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53,08</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53,19</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50,4</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50,5</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5,33%</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57,62</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57,73</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54,4</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54,5</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5,93%</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53,19</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53,31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50,5</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50,6</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5,35%</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57,73</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57,85</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54,5</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54,6</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5,95%</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53,31</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53,42</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50,6</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50,7</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5,36%</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57,85</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57,96</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54,6</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54,7</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5,96%</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53,42</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53,53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50,7</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50,8</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5,38%</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57,96</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58,07</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54,7</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54,8</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5,97%</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53,53</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53,65</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50,8</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50,9</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5,40%</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58,07</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58,19</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54,8</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54,9</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5,99%</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53,65</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53,76</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50,9</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51,0</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5,41%</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58,19</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58,30</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54,9</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55,0</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6,00%</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53,76</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53,87</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51,0</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51,1</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5,43%</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58,30</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58,42</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55,0</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55,1</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6,02%</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53,87</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53,99</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51,2</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5,44%</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58,42</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58,53</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55,1</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55,2</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6,03%</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53,99</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54,10</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51,2</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51,3</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5,46%</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58,53</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58,65</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55,2</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55,3</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6,05%</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54,10</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54,21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51,4</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5,47%</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58,65</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58,76</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55,3</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55,4</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6,06%</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54,21</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54,33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51,4</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51,5</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5,49%</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58,76</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58,88</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55,4</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55,5</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6,08%</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54,33</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54,44</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51,5</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51,6</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5,51%</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58,88</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58,99</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55,5</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55,6</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6,10%</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54,44</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54,55</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51,6</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51,7</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5,52%</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58,99</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59,11</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55,6</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55,7</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6,11%</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54,55</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54,67</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51,7</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51,8</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5,54%</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59,11</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59,22</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55,7</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55,8</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6,13%</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54,67</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54,78</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51,8</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51,9</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13,50%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5,55%</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59,22</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59,34</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55,8</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55,9</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6,14%</w:t>
            </w:r>
          </w:p>
        </w:tc>
      </w:tr>
    </w:tbl>
    <w:p w:rsidR="00F34828" w:rsidRDefault="00F34828" w:rsidP="00F34828"/>
    <w:p w:rsidR="00F34828" w:rsidRDefault="00F34828" w:rsidP="00F34828"/>
    <w:tbl>
      <w:tblPr>
        <w:tblW w:w="9240" w:type="dxa"/>
        <w:tblInd w:w="52" w:type="dxa"/>
        <w:tblCellMar>
          <w:left w:w="70" w:type="dxa"/>
          <w:right w:w="70" w:type="dxa"/>
        </w:tblCellMar>
        <w:tblLook w:val="04A0" w:firstRow="1" w:lastRow="0" w:firstColumn="1" w:lastColumn="0" w:noHBand="0" w:noVBand="1"/>
      </w:tblPr>
      <w:tblGrid>
        <w:gridCol w:w="239"/>
        <w:gridCol w:w="541"/>
        <w:gridCol w:w="230"/>
        <w:gridCol w:w="541"/>
        <w:gridCol w:w="234"/>
        <w:gridCol w:w="464"/>
        <w:gridCol w:w="229"/>
        <w:gridCol w:w="457"/>
        <w:gridCol w:w="809"/>
        <w:gridCol w:w="746"/>
        <w:gridCol w:w="260"/>
        <w:gridCol w:w="234"/>
        <w:gridCol w:w="541"/>
        <w:gridCol w:w="230"/>
        <w:gridCol w:w="541"/>
        <w:gridCol w:w="234"/>
        <w:gridCol w:w="460"/>
        <w:gridCol w:w="236"/>
        <w:gridCol w:w="457"/>
        <w:gridCol w:w="808"/>
        <w:gridCol w:w="749"/>
      </w:tblGrid>
      <w:tr w:rsidR="00F34828" w:rsidRPr="00E91F53" w:rsidTr="00774887">
        <w:trPr>
          <w:trHeight w:val="1251"/>
        </w:trPr>
        <w:tc>
          <w:tcPr>
            <w:tcW w:w="4482"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F34828" w:rsidRPr="00E91F53" w:rsidRDefault="000B3052" w:rsidP="00774887">
            <w:pPr>
              <w:jc w:val="both"/>
              <w:rPr>
                <w:rFonts w:ascii="Arial" w:hAnsi="Arial" w:cs="Arial"/>
                <w:sz w:val="16"/>
                <w:szCs w:val="16"/>
                <w:lang w:eastAsia="es-CL"/>
              </w:rPr>
            </w:pPr>
            <w:r w:rsidRPr="000B3052">
              <w:rPr>
                <w:rFonts w:ascii="Arial" w:hAnsi="Arial" w:cs="Arial"/>
                <w:sz w:val="18"/>
                <w:szCs w:val="18"/>
                <w:lang w:eastAsia="es-CL"/>
              </w:rPr>
              <w:t>A los EM cuyas ventas anuales determinadas conforme a la letra d) del Art. 64 bis de la LIR, excedan al valor equivalente a 50.000 TMCF, y que se acojan a lo dispuesto en el artículo 2° transitorio de la Ley 20.469, se les aplicará una tasa correspondiente al MOM, de acuerdo a las siguientes tablas:</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4498"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F34828" w:rsidRPr="00E91F53" w:rsidRDefault="000B3052" w:rsidP="00774887">
            <w:pPr>
              <w:jc w:val="both"/>
              <w:rPr>
                <w:rFonts w:ascii="Arial" w:hAnsi="Arial" w:cs="Arial"/>
                <w:sz w:val="16"/>
                <w:szCs w:val="16"/>
                <w:lang w:eastAsia="es-CL"/>
              </w:rPr>
            </w:pPr>
            <w:r w:rsidRPr="000B3052">
              <w:rPr>
                <w:rFonts w:ascii="Arial" w:hAnsi="Arial" w:cs="Arial"/>
                <w:sz w:val="18"/>
                <w:szCs w:val="18"/>
                <w:lang w:eastAsia="es-CL"/>
              </w:rPr>
              <w:t>A los EM cuyas ventas anuales determinadas conforme a la letra d) del Art. 64 bis de la LIR, excedan al valor equivalente a 50.000 TMCF, y que se acojan a lo dispuesto en el artículo 2° transitorio de la Ley 20.469, se les aplicará una tasa correspondiente al MOM, de acuerdo a las siguientes tablas:</w:t>
            </w:r>
          </w:p>
        </w:tc>
      </w:tr>
      <w:tr w:rsidR="00F34828" w:rsidRPr="00E91F53" w:rsidTr="00774887">
        <w:trPr>
          <w:trHeight w:val="690"/>
        </w:trPr>
        <w:tc>
          <w:tcPr>
            <w:tcW w:w="1374" w:type="dxa"/>
            <w:gridSpan w:val="4"/>
            <w:tcBorders>
              <w:top w:val="single" w:sz="8" w:space="0" w:color="auto"/>
              <w:left w:val="single" w:sz="8" w:space="0" w:color="auto"/>
              <w:bottom w:val="single" w:sz="8" w:space="0" w:color="auto"/>
              <w:right w:val="single" w:sz="8" w:space="0" w:color="000000"/>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1: Margen operacional minero (antes de rebajar IEAM)</w:t>
            </w:r>
          </w:p>
        </w:tc>
        <w:tc>
          <w:tcPr>
            <w:tcW w:w="1438" w:type="dxa"/>
            <w:gridSpan w:val="4"/>
            <w:tcBorders>
              <w:top w:val="single" w:sz="8" w:space="0" w:color="auto"/>
              <w:left w:val="nil"/>
              <w:bottom w:val="single" w:sz="8" w:space="0" w:color="auto"/>
              <w:right w:val="single" w:sz="4" w:space="0" w:color="auto"/>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2: Margen operacional minero</w:t>
            </w:r>
          </w:p>
        </w:tc>
        <w:tc>
          <w:tcPr>
            <w:tcW w:w="867" w:type="dxa"/>
            <w:tcBorders>
              <w:top w:val="nil"/>
              <w:left w:val="single" w:sz="8" w:space="0" w:color="auto"/>
              <w:bottom w:val="single" w:sz="8" w:space="0" w:color="auto"/>
              <w:right w:val="single" w:sz="4" w:space="0" w:color="auto"/>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3: Tasa  Marginal</w:t>
            </w:r>
          </w:p>
        </w:tc>
        <w:tc>
          <w:tcPr>
            <w:tcW w:w="803" w:type="dxa"/>
            <w:tcBorders>
              <w:top w:val="nil"/>
              <w:left w:val="nil"/>
              <w:bottom w:val="single" w:sz="8" w:space="0" w:color="auto"/>
              <w:right w:val="single" w:sz="8" w:space="0" w:color="auto"/>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4: Tasa efectiva</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1345" w:type="dxa"/>
            <w:gridSpan w:val="4"/>
            <w:tcBorders>
              <w:top w:val="single" w:sz="8" w:space="0" w:color="auto"/>
              <w:left w:val="single" w:sz="8" w:space="0" w:color="auto"/>
              <w:bottom w:val="single" w:sz="8" w:space="0" w:color="auto"/>
              <w:right w:val="single" w:sz="8" w:space="0" w:color="000000"/>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1: Margen operacional minero (antes de rebajar IEAM)</w:t>
            </w:r>
          </w:p>
        </w:tc>
        <w:tc>
          <w:tcPr>
            <w:tcW w:w="1471" w:type="dxa"/>
            <w:gridSpan w:val="4"/>
            <w:tcBorders>
              <w:top w:val="single" w:sz="8" w:space="0" w:color="auto"/>
              <w:left w:val="nil"/>
              <w:bottom w:val="single" w:sz="8" w:space="0" w:color="auto"/>
              <w:right w:val="single" w:sz="4" w:space="0" w:color="auto"/>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2: Margen operacional minero</w:t>
            </w:r>
          </w:p>
        </w:tc>
        <w:tc>
          <w:tcPr>
            <w:tcW w:w="862" w:type="dxa"/>
            <w:tcBorders>
              <w:top w:val="nil"/>
              <w:left w:val="single" w:sz="8" w:space="0" w:color="auto"/>
              <w:bottom w:val="single" w:sz="8" w:space="0" w:color="auto"/>
              <w:right w:val="single" w:sz="4" w:space="0" w:color="auto"/>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3: Tasa  Marginal</w:t>
            </w:r>
          </w:p>
        </w:tc>
        <w:tc>
          <w:tcPr>
            <w:tcW w:w="820" w:type="dxa"/>
            <w:tcBorders>
              <w:top w:val="nil"/>
              <w:left w:val="nil"/>
              <w:bottom w:val="single" w:sz="8" w:space="0" w:color="auto"/>
              <w:right w:val="single" w:sz="8" w:space="0" w:color="auto"/>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4: Tasa efectiva</w:t>
            </w:r>
          </w:p>
        </w:tc>
      </w:tr>
      <w:tr w:rsidR="00F34828" w:rsidRPr="00E91F53" w:rsidTr="00774887">
        <w:trPr>
          <w:trHeight w:val="225"/>
        </w:trPr>
        <w:tc>
          <w:tcPr>
            <w:tcW w:w="262" w:type="dxa"/>
            <w:tcBorders>
              <w:top w:val="single" w:sz="4" w:space="0" w:color="auto"/>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single" w:sz="4" w:space="0" w:color="auto"/>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59,34</w:t>
            </w:r>
          </w:p>
        </w:tc>
        <w:tc>
          <w:tcPr>
            <w:tcW w:w="237" w:type="dxa"/>
            <w:tcBorders>
              <w:top w:val="single" w:sz="4" w:space="0" w:color="auto"/>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single" w:sz="4" w:space="0" w:color="auto"/>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59,45</w:t>
            </w:r>
          </w:p>
        </w:tc>
        <w:tc>
          <w:tcPr>
            <w:tcW w:w="212" w:type="dxa"/>
            <w:tcBorders>
              <w:top w:val="single" w:sz="4" w:space="0" w:color="auto"/>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single" w:sz="4" w:space="0" w:color="auto"/>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55,9</w:t>
            </w:r>
          </w:p>
        </w:tc>
        <w:tc>
          <w:tcPr>
            <w:tcW w:w="212" w:type="dxa"/>
            <w:tcBorders>
              <w:top w:val="single" w:sz="4" w:space="0" w:color="auto"/>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single" w:sz="4" w:space="0" w:color="auto"/>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56,0</w:t>
            </w:r>
          </w:p>
        </w:tc>
        <w:tc>
          <w:tcPr>
            <w:tcW w:w="867" w:type="dxa"/>
            <w:tcBorders>
              <w:top w:val="single" w:sz="4" w:space="0" w:color="auto"/>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single" w:sz="4" w:space="0" w:color="auto"/>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6,16%</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single" w:sz="4" w:space="0" w:color="auto"/>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single" w:sz="4" w:space="0" w:color="auto"/>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63,94</w:t>
            </w:r>
          </w:p>
        </w:tc>
        <w:tc>
          <w:tcPr>
            <w:tcW w:w="235" w:type="dxa"/>
            <w:tcBorders>
              <w:top w:val="single" w:sz="4" w:space="0" w:color="auto"/>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single" w:sz="4" w:space="0" w:color="auto"/>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64,05</w:t>
            </w:r>
          </w:p>
        </w:tc>
        <w:tc>
          <w:tcPr>
            <w:tcW w:w="211" w:type="dxa"/>
            <w:tcBorders>
              <w:top w:val="single" w:sz="4" w:space="0" w:color="auto"/>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single" w:sz="4" w:space="0" w:color="auto"/>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59,9</w:t>
            </w:r>
          </w:p>
        </w:tc>
        <w:tc>
          <w:tcPr>
            <w:tcW w:w="273" w:type="dxa"/>
            <w:tcBorders>
              <w:top w:val="single" w:sz="4" w:space="0" w:color="auto"/>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single" w:sz="4" w:space="0" w:color="auto"/>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60,0</w:t>
            </w:r>
          </w:p>
        </w:tc>
        <w:tc>
          <w:tcPr>
            <w:tcW w:w="862" w:type="dxa"/>
            <w:tcBorders>
              <w:top w:val="single" w:sz="4" w:space="0" w:color="auto"/>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20" w:type="dxa"/>
            <w:tcBorders>
              <w:top w:val="single" w:sz="4" w:space="0" w:color="auto"/>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6,75%</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59,45</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59,57</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56,0</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56,1</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6,18%</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64,05</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64,17</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60,0</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60,1</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6,77%</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59,57</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59,68</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56,2</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6,19%</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64,17</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64,28</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60,1</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60,2</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6,78%</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59,68</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59,80</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56,2</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56,3</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6,21%</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64,28</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64,40</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60,2</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60,3</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6,80%</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59,80</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59,91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56,4</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6,22%</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64,40</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64,52</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60,3</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60,4</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6,81%</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59,91</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60,03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56,4</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56,5</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6,24%</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64,52</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64,63</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60,4</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60,5</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6,83%</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60,03</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60,14</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56,5</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56,6</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6,25%</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64,63</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64,75</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60,5</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60,6</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6,85%</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60,14</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60,26</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56,6</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56,7</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6,27%</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64,75</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64,87</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60,6</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60,7</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6,86%</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60,26</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60,37</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56,7</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56,8</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6,29%</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64,87</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64,98</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60,7</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60,8</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6,88%</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60,37</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60,49</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56,8</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56,9</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6,30%</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64,98</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65,10</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60,8</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60,9</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6,89%</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60,49</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60,60</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56,9</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57,0</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6,32%</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65,10</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65,22</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60,9</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61,0</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6,91%</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60,60</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60,72</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57,0</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57,1</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6,33%</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65,22</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65,33</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61,0</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61,1</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6,93%</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60,72</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60,83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57,2</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6,35%</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65,33</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65,45</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61,1</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61,2</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6,94%</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60,83</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60,95</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57,2</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57,3</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6,36%</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65,45</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65,56</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61,2</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61,3</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6,96%</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60,95</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61,06</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57,4</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6,38%</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65,56</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65,68</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61,3</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61,4</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6,97%</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61,06</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61,18</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57,4</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57,5</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6,39%</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65,68</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65,80</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61,4</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61,5</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6,99%</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61,18</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61,29</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57,5</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57,6</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6,41%</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65,80</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65,91</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61,5</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61,6</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7,00%</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61,29</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61,41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57,6</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57,7</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6,42%</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65,91</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66,03</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61,6</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61,7</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7,02%</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61,41</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61,52</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57,7</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57,8</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6,44%</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66,03</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66,15</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61,7</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61,8</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7,03%</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61,52</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61,64</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57,8</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57,9</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6,45%</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66,15</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66,26</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61,8</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61,9</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7,05%</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61,64</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61,75</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57,9</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58,0</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6,47%</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66,26</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66,38</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61,9</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62,0</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7,06%</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61,75</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61,87</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58,0</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58,1</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6,48%</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66,38</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66,50</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62,0</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62,1</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7,08%</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61,87</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61,98</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58,2</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6,49%</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66,50</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66,61</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62,1</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62,2</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7,09%</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61,98</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62,10</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58,2</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58,3</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6,51%</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66,61</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66,73</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62,2</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62,3</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7,11%</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62,10</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62,21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58,4</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6,52%</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66,73</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66,85</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62,3</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62,4</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7,12%</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62,21</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62,33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58,4</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58,5</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6,54%</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66,85</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66,96</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62,4</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62,5</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7,14%</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62,33</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62,44</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58,5</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58,6</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6,55%</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66,96</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67,08</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62,5</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62,6</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7,15%</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62,44</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62,56</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58,6</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58,7</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6,57%</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67,08</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67,20</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62,6</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62,7</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7,17%</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62,56</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62,67</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58,7</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58,8</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6,58%</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67,20</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67,31</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62,7</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62,8</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7,18%</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62,67</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62,79</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58,8</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58,9</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6,60%</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67,31</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67,43</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62,8</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62,9</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7,20%</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62,79</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62,90</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58,9</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59,0</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6,61%</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67,43</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67,55</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62,9</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63,0</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7,21%</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62,90</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63,02</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59,0</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59,1</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6,62%</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67,55</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67,66</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63,0</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63,1</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7,23%</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63,02</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63,13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59,2</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6,64%</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67,66</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67,78</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63,1</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63,2</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7,24%</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63,13</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63,25</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59,2</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59,3</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6,65%</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67,78</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67,89</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63,2</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63,3</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7,26%</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63,25</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63,36</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59,4</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6,67%</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67,89</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68,01</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63,3</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63,4</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7,27%</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63,36</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63,48</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59,4</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59,5</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6,68%</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68,01</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68,13</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63,4</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63,5</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7,29%</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63,48</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63,59</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59,5</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59,6</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6,69%</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68,13</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68,24</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63,5</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63,6</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7,30%</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63,59</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63,71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59,6</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59,7</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6,71%</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68,24</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68,36</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63,6</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63,7</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7,32%</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63,71</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63,82</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59,7</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59,8</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6,72%</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68,36</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68,48</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63,7</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63,8</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7,33%</w:t>
            </w:r>
          </w:p>
        </w:tc>
      </w:tr>
      <w:tr w:rsidR="00F34828" w:rsidRPr="00E91F53" w:rsidTr="00774887">
        <w:trPr>
          <w:trHeight w:val="240"/>
        </w:trPr>
        <w:tc>
          <w:tcPr>
            <w:tcW w:w="262" w:type="dxa"/>
            <w:tcBorders>
              <w:top w:val="nil"/>
              <w:left w:val="single" w:sz="8" w:space="0" w:color="auto"/>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8"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63,82</w:t>
            </w:r>
          </w:p>
        </w:tc>
        <w:tc>
          <w:tcPr>
            <w:tcW w:w="237"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8"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63,94</w:t>
            </w:r>
          </w:p>
        </w:tc>
        <w:tc>
          <w:tcPr>
            <w:tcW w:w="212"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59,8</w:t>
            </w:r>
          </w:p>
        </w:tc>
        <w:tc>
          <w:tcPr>
            <w:tcW w:w="212"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8"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59,9</w:t>
            </w:r>
          </w:p>
        </w:tc>
        <w:tc>
          <w:tcPr>
            <w:tcW w:w="867" w:type="dxa"/>
            <w:tcBorders>
              <w:top w:val="nil"/>
              <w:left w:val="single" w:sz="8" w:space="0" w:color="auto"/>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15,00%</w:t>
            </w:r>
          </w:p>
        </w:tc>
        <w:tc>
          <w:tcPr>
            <w:tcW w:w="803" w:type="dxa"/>
            <w:tcBorders>
              <w:top w:val="nil"/>
              <w:left w:val="nil"/>
              <w:bottom w:val="single" w:sz="8"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6,74%</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8"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68,48</w:t>
            </w:r>
          </w:p>
        </w:tc>
        <w:tc>
          <w:tcPr>
            <w:tcW w:w="235"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8"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68,59</w:t>
            </w:r>
          </w:p>
        </w:tc>
        <w:tc>
          <w:tcPr>
            <w:tcW w:w="211"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63,8</w:t>
            </w:r>
          </w:p>
        </w:tc>
        <w:tc>
          <w:tcPr>
            <w:tcW w:w="273"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8"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63,9</w:t>
            </w:r>
          </w:p>
        </w:tc>
        <w:tc>
          <w:tcPr>
            <w:tcW w:w="862" w:type="dxa"/>
            <w:tcBorders>
              <w:top w:val="nil"/>
              <w:left w:val="single" w:sz="8" w:space="0" w:color="auto"/>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20" w:type="dxa"/>
            <w:tcBorders>
              <w:top w:val="nil"/>
              <w:left w:val="nil"/>
              <w:bottom w:val="single" w:sz="8"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7,35%</w:t>
            </w:r>
          </w:p>
        </w:tc>
      </w:tr>
    </w:tbl>
    <w:p w:rsidR="00F34828" w:rsidRDefault="00F34828" w:rsidP="00F34828"/>
    <w:p w:rsidR="00F34828" w:rsidRDefault="00F34828" w:rsidP="00F34828"/>
    <w:p w:rsidR="00F34828" w:rsidRDefault="00F34828" w:rsidP="00F34828"/>
    <w:tbl>
      <w:tblPr>
        <w:tblW w:w="9240" w:type="dxa"/>
        <w:tblInd w:w="52" w:type="dxa"/>
        <w:tblCellMar>
          <w:left w:w="70" w:type="dxa"/>
          <w:right w:w="70" w:type="dxa"/>
        </w:tblCellMar>
        <w:tblLook w:val="04A0" w:firstRow="1" w:lastRow="0" w:firstColumn="1" w:lastColumn="0" w:noHBand="0" w:noVBand="1"/>
      </w:tblPr>
      <w:tblGrid>
        <w:gridCol w:w="239"/>
        <w:gridCol w:w="541"/>
        <w:gridCol w:w="230"/>
        <w:gridCol w:w="541"/>
        <w:gridCol w:w="234"/>
        <w:gridCol w:w="464"/>
        <w:gridCol w:w="229"/>
        <w:gridCol w:w="457"/>
        <w:gridCol w:w="809"/>
        <w:gridCol w:w="746"/>
        <w:gridCol w:w="260"/>
        <w:gridCol w:w="234"/>
        <w:gridCol w:w="541"/>
        <w:gridCol w:w="230"/>
        <w:gridCol w:w="541"/>
        <w:gridCol w:w="234"/>
        <w:gridCol w:w="460"/>
        <w:gridCol w:w="236"/>
        <w:gridCol w:w="457"/>
        <w:gridCol w:w="808"/>
        <w:gridCol w:w="749"/>
      </w:tblGrid>
      <w:tr w:rsidR="00F34828" w:rsidRPr="00E91F53" w:rsidTr="00774887">
        <w:trPr>
          <w:trHeight w:val="1251"/>
        </w:trPr>
        <w:tc>
          <w:tcPr>
            <w:tcW w:w="4482"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F34828" w:rsidRPr="00E91F53" w:rsidRDefault="000B3052" w:rsidP="00774887">
            <w:pPr>
              <w:jc w:val="both"/>
              <w:rPr>
                <w:rFonts w:ascii="Arial" w:hAnsi="Arial" w:cs="Arial"/>
                <w:sz w:val="16"/>
                <w:szCs w:val="16"/>
                <w:lang w:eastAsia="es-CL"/>
              </w:rPr>
            </w:pPr>
            <w:r w:rsidRPr="000B3052">
              <w:rPr>
                <w:rFonts w:ascii="Arial" w:hAnsi="Arial" w:cs="Arial"/>
                <w:sz w:val="18"/>
                <w:szCs w:val="18"/>
                <w:lang w:eastAsia="es-CL"/>
              </w:rPr>
              <w:t>A los EM cuyas ventas anuales determinadas conforme a la letra d) del Art. 64 bis de la LIR, excedan al valor equivalente a 50.000 TMCF, y que se acojan a lo dispuesto en el artículo 2° transitorio de la Ley 20.469, se les aplicará una tasa correspondiente al MOM, de acuerdo a las siguientes tablas:</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4498"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F34828" w:rsidRPr="00E91F53" w:rsidRDefault="000B3052" w:rsidP="00774887">
            <w:pPr>
              <w:jc w:val="both"/>
              <w:rPr>
                <w:rFonts w:ascii="Arial" w:hAnsi="Arial" w:cs="Arial"/>
                <w:sz w:val="16"/>
                <w:szCs w:val="16"/>
                <w:lang w:eastAsia="es-CL"/>
              </w:rPr>
            </w:pPr>
            <w:r w:rsidRPr="000B3052">
              <w:rPr>
                <w:rFonts w:ascii="Arial" w:hAnsi="Arial" w:cs="Arial"/>
                <w:sz w:val="18"/>
                <w:szCs w:val="18"/>
                <w:lang w:eastAsia="es-CL"/>
              </w:rPr>
              <w:t>A los EM cuyas ventas anuales determinadas conforme a la letra d) del Art. 64 bis de la LIR, excedan al valor equivalente a 50.000 TMCF, y que se acojan a lo dispuesto en el artículo 2° transitorio de la Ley 20.469, se les aplicará una tasa correspondiente al MOM, de acuerdo a las siguientes tablas:</w:t>
            </w:r>
          </w:p>
        </w:tc>
      </w:tr>
      <w:tr w:rsidR="00F34828" w:rsidRPr="00E91F53" w:rsidTr="00774887">
        <w:trPr>
          <w:trHeight w:val="945"/>
        </w:trPr>
        <w:tc>
          <w:tcPr>
            <w:tcW w:w="1374" w:type="dxa"/>
            <w:gridSpan w:val="4"/>
            <w:tcBorders>
              <w:top w:val="single" w:sz="8" w:space="0" w:color="auto"/>
              <w:left w:val="single" w:sz="8" w:space="0" w:color="auto"/>
              <w:bottom w:val="single" w:sz="8" w:space="0" w:color="auto"/>
              <w:right w:val="single" w:sz="8" w:space="0" w:color="000000"/>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1: Margen operacional minero (antes de rebajar IEAM)</w:t>
            </w:r>
          </w:p>
        </w:tc>
        <w:tc>
          <w:tcPr>
            <w:tcW w:w="1438" w:type="dxa"/>
            <w:gridSpan w:val="4"/>
            <w:tcBorders>
              <w:top w:val="single" w:sz="8" w:space="0" w:color="auto"/>
              <w:left w:val="nil"/>
              <w:bottom w:val="single" w:sz="8" w:space="0" w:color="auto"/>
              <w:right w:val="single" w:sz="4" w:space="0" w:color="auto"/>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2: Margen operacional minero</w:t>
            </w:r>
          </w:p>
        </w:tc>
        <w:tc>
          <w:tcPr>
            <w:tcW w:w="867" w:type="dxa"/>
            <w:tcBorders>
              <w:top w:val="nil"/>
              <w:left w:val="single" w:sz="8" w:space="0" w:color="auto"/>
              <w:bottom w:val="single" w:sz="8" w:space="0" w:color="auto"/>
              <w:right w:val="single" w:sz="4" w:space="0" w:color="auto"/>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3: Tasa  Marginal</w:t>
            </w:r>
          </w:p>
        </w:tc>
        <w:tc>
          <w:tcPr>
            <w:tcW w:w="803" w:type="dxa"/>
            <w:tcBorders>
              <w:top w:val="nil"/>
              <w:left w:val="nil"/>
              <w:bottom w:val="single" w:sz="8" w:space="0" w:color="auto"/>
              <w:right w:val="single" w:sz="8" w:space="0" w:color="auto"/>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4: Tasa efectiva</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1345" w:type="dxa"/>
            <w:gridSpan w:val="4"/>
            <w:tcBorders>
              <w:top w:val="single" w:sz="8" w:space="0" w:color="auto"/>
              <w:left w:val="single" w:sz="8" w:space="0" w:color="auto"/>
              <w:bottom w:val="single" w:sz="8" w:space="0" w:color="auto"/>
              <w:right w:val="single" w:sz="8" w:space="0" w:color="000000"/>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1: Margen operacional minero (antes de rebajar IEAM)</w:t>
            </w:r>
          </w:p>
        </w:tc>
        <w:tc>
          <w:tcPr>
            <w:tcW w:w="1471" w:type="dxa"/>
            <w:gridSpan w:val="4"/>
            <w:tcBorders>
              <w:top w:val="single" w:sz="8" w:space="0" w:color="auto"/>
              <w:left w:val="nil"/>
              <w:bottom w:val="single" w:sz="8" w:space="0" w:color="auto"/>
              <w:right w:val="single" w:sz="4" w:space="0" w:color="auto"/>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2: Margen operacional minero</w:t>
            </w:r>
          </w:p>
        </w:tc>
        <w:tc>
          <w:tcPr>
            <w:tcW w:w="862" w:type="dxa"/>
            <w:tcBorders>
              <w:top w:val="nil"/>
              <w:left w:val="single" w:sz="8" w:space="0" w:color="auto"/>
              <w:bottom w:val="single" w:sz="8" w:space="0" w:color="auto"/>
              <w:right w:val="single" w:sz="4" w:space="0" w:color="auto"/>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3: Tasa  Marginal</w:t>
            </w:r>
          </w:p>
        </w:tc>
        <w:tc>
          <w:tcPr>
            <w:tcW w:w="820" w:type="dxa"/>
            <w:tcBorders>
              <w:top w:val="nil"/>
              <w:left w:val="nil"/>
              <w:bottom w:val="single" w:sz="8" w:space="0" w:color="auto"/>
              <w:right w:val="single" w:sz="8" w:space="0" w:color="auto"/>
            </w:tcBorders>
            <w:shd w:val="clear" w:color="000000" w:fill="969696"/>
            <w:hideMark/>
          </w:tcPr>
          <w:p w:rsidR="00F34828" w:rsidRPr="00E91F53" w:rsidRDefault="00F34828" w:rsidP="00774887">
            <w:pPr>
              <w:jc w:val="center"/>
              <w:rPr>
                <w:rFonts w:ascii="Arial" w:hAnsi="Arial" w:cs="Arial"/>
                <w:b/>
                <w:bCs/>
                <w:sz w:val="16"/>
                <w:szCs w:val="16"/>
                <w:lang w:eastAsia="es-CL"/>
              </w:rPr>
            </w:pPr>
            <w:r w:rsidRPr="00E91F53">
              <w:rPr>
                <w:rFonts w:ascii="Arial" w:hAnsi="Arial" w:cs="Arial"/>
                <w:b/>
                <w:bCs/>
                <w:sz w:val="16"/>
                <w:szCs w:val="16"/>
                <w:lang w:eastAsia="es-CL"/>
              </w:rPr>
              <w:t>Tabla 4: Tasa efectiva</w:t>
            </w:r>
          </w:p>
        </w:tc>
      </w:tr>
      <w:tr w:rsidR="00F34828" w:rsidRPr="00E91F53" w:rsidTr="00774887">
        <w:trPr>
          <w:trHeight w:val="225"/>
        </w:trPr>
        <w:tc>
          <w:tcPr>
            <w:tcW w:w="262" w:type="dxa"/>
            <w:tcBorders>
              <w:top w:val="single" w:sz="4" w:space="0" w:color="auto"/>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single" w:sz="4" w:space="0" w:color="auto"/>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68,59</w:t>
            </w:r>
          </w:p>
        </w:tc>
        <w:tc>
          <w:tcPr>
            <w:tcW w:w="237" w:type="dxa"/>
            <w:tcBorders>
              <w:top w:val="single" w:sz="4" w:space="0" w:color="auto"/>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single" w:sz="4" w:space="0" w:color="auto"/>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68,71</w:t>
            </w:r>
          </w:p>
        </w:tc>
        <w:tc>
          <w:tcPr>
            <w:tcW w:w="212" w:type="dxa"/>
            <w:tcBorders>
              <w:top w:val="single" w:sz="4" w:space="0" w:color="auto"/>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single" w:sz="4" w:space="0" w:color="auto"/>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63,9</w:t>
            </w:r>
          </w:p>
        </w:tc>
        <w:tc>
          <w:tcPr>
            <w:tcW w:w="212" w:type="dxa"/>
            <w:tcBorders>
              <w:top w:val="single" w:sz="4" w:space="0" w:color="auto"/>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single" w:sz="4" w:space="0" w:color="auto"/>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64,0</w:t>
            </w:r>
          </w:p>
        </w:tc>
        <w:tc>
          <w:tcPr>
            <w:tcW w:w="867" w:type="dxa"/>
            <w:tcBorders>
              <w:top w:val="single" w:sz="4" w:space="0" w:color="auto"/>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03" w:type="dxa"/>
            <w:tcBorders>
              <w:top w:val="single" w:sz="4" w:space="0" w:color="auto"/>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7,36%</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73,30</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73,42</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67,9</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68,0</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7,96%</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68,71</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68,83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64,0</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64,1</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7,37%</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73,42</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73,53</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68,0</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68,1</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7,98%</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68,83</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68,94</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64,2</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7,39%</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73,53</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73,65</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68,1</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68,2</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7,99%</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68,94</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69,06</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64,2</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64,3</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7,40%</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73,65</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73,77</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68,2</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68,3</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8,01%</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69,06</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69,18</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64,4</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7,42%</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73,77</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73,89</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68,3</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68,4</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8,02%</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69,18</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69,29</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64,4</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64,5</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7,43%</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73,89</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74,01</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68,4</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68,5</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8,04%</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69,29</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69,41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64,5</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64,6</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7,44%</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74,01</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74,12</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68,5</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68,6</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8,05%</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69,41</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69,53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64,6</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64,7</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7,46%</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74,12</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74,24</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68,6</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68,7</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8,07%</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69,53</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69,64</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64,7</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64,8</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7,47%</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74,24</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74,36</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68,7</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68,8</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8,08%</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69,64</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69,76</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64,8</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64,9</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7,49%</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74,36</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74,48</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68,8</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68,9</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8,09%</w:t>
            </w:r>
          </w:p>
        </w:tc>
      </w:tr>
      <w:tr w:rsidR="00F34828" w:rsidRPr="00E91F53" w:rsidTr="00774887">
        <w:trPr>
          <w:trHeight w:val="240"/>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69,76</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69,88</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64,9</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65,0</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16,50%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7,50%</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74,48</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74,60</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68,9</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69,0</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8,11%</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69,88</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69,99</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65,0</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65,1</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7,52%</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74,60</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74,71</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69,0</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69,1</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8,12%</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69,99</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70,11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65,2</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7,53%</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74,71</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74,83</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69,1</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69,2</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8,14%</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70,11</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70,23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65,2</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65,3</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7,55%</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74,83</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74,95</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69,2</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69,3</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8,15%</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70,23</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70,35</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65,4</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7,56%</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74,95</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75,07</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69,3</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69,4</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8,17%</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70,35</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70,47</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65,4</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65,5</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7,58%</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75,07</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75,19</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69,4</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69,5</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8,18%</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70,47</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70,58</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65,5</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65,6</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7,60%</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75,19</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75,30</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69,5</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69,6</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8,19%</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70,58</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70,70</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65,6</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65,7</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7,61%</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75,30</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75,42</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69,6</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69,7</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8,21%</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70,70</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70,82</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65,7</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65,8</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7,63%</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75,42</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75,54</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69,7</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69,8</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8,22%</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70,82</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70,94</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65,8</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65,9</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7,64%</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75,54</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75,66</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69,8</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69,9</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8,24%</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70,94</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71,06</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65,9</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66,0</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7,66%</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75,66</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75,78</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69,9</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70,0</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8,25%</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71,06</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71,17</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66,0</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66,1</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7,67%</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75,78</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75,89</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70,0</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70,1</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19,50%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8,27%</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71,17</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71,29</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66,2</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7,69%</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75,89</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76,01</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70,1</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70,2</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19,50%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8,28%</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71,29</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71,41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66,2</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66,3</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7,71%</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76,01</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76,13</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70,2</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70,3</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19,50%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8,30%</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71,41</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71,53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66,4</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7,72%</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76,13</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76,25</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70,3</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70,4</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19,50%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8,31%</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71,53</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71,65</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66,4</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66,5</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7,74%</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76,25</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76,37</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70,4</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70,5</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19,50%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8,33%</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71,65</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71,76</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66,5</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66,6</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7,75%</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76,37</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76,49</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70,5</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70,6</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19,50%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8,35%</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71,76</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71,88</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66,6</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66,7</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7,77%</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76,49</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76,61</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70,6</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70,7</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19,50%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8,36%</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71,88</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72,00</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66,7</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66,8</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7,78%</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76,61</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76,73</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70,7</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70,8</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19,50%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8,38%</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72,00</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72,12</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66,8</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66,9</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7,80%</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76,73</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76,85</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70,8</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70,9</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19,50%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8,39%</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72,12</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72,24</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66,9</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67,0</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7,81%</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76,85</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76,97</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70,9</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71,0</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19,50%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8,41%</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72,24</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72,35</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67,0</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67,1</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7,83%</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76,97</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77,09</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71,0</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71,1</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19,50%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8,42%</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72,35</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72,47</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67,2</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7,84%</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77,09</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77,21</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71,1</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71,2</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19,50%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8,44%</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72,47</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72,59</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67,2</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67,3</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7,86%</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77,21</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77,33</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71,2</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71,3</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19,50%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8,46%</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72,59</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72,71</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67,4</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7,87%</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77,33</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77,45</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71,3</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71,4</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19,50%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8,47%</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72,71</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72,83</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67,4</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67,5</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7,89%</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77,45</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77,57</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71,4</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71,5</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19,50%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8,49%</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72,83</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72,94</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67,5</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67,6</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7,90%</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77,57</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77,69</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71,5</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71,6</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19,50%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8,50%</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72,94</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73,06</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67,6</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67,7</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7,92%</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77,69</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77,81</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71,6</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71,7</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19,50%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8,52%</w:t>
            </w:r>
          </w:p>
        </w:tc>
      </w:tr>
      <w:tr w:rsidR="00F34828" w:rsidRPr="00E91F53" w:rsidTr="00774887">
        <w:trPr>
          <w:trHeight w:val="225"/>
        </w:trPr>
        <w:tc>
          <w:tcPr>
            <w:tcW w:w="2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73,06</w:t>
            </w:r>
          </w:p>
        </w:tc>
        <w:tc>
          <w:tcPr>
            <w:tcW w:w="237"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73,18</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67,7</w:t>
            </w:r>
          </w:p>
        </w:tc>
        <w:tc>
          <w:tcPr>
            <w:tcW w:w="212"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67,8</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7,93%</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77,81</w:t>
            </w:r>
          </w:p>
        </w:tc>
        <w:tc>
          <w:tcPr>
            <w:tcW w:w="235"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77,93</w:t>
            </w:r>
          </w:p>
        </w:tc>
        <w:tc>
          <w:tcPr>
            <w:tcW w:w="211"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71,7</w:t>
            </w:r>
          </w:p>
        </w:tc>
        <w:tc>
          <w:tcPr>
            <w:tcW w:w="273" w:type="dxa"/>
            <w:tcBorders>
              <w:top w:val="nil"/>
              <w:left w:val="nil"/>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4"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71,8</w:t>
            </w:r>
          </w:p>
        </w:tc>
        <w:tc>
          <w:tcPr>
            <w:tcW w:w="862" w:type="dxa"/>
            <w:tcBorders>
              <w:top w:val="nil"/>
              <w:left w:val="single" w:sz="8" w:space="0" w:color="auto"/>
              <w:bottom w:val="single" w:sz="4"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19,50%</w:t>
            </w:r>
          </w:p>
        </w:tc>
        <w:tc>
          <w:tcPr>
            <w:tcW w:w="820" w:type="dxa"/>
            <w:tcBorders>
              <w:top w:val="nil"/>
              <w:left w:val="nil"/>
              <w:bottom w:val="single" w:sz="4"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8,53%</w:t>
            </w:r>
          </w:p>
        </w:tc>
      </w:tr>
      <w:tr w:rsidR="00F34828" w:rsidRPr="00E91F53" w:rsidTr="00774887">
        <w:trPr>
          <w:trHeight w:val="240"/>
        </w:trPr>
        <w:tc>
          <w:tcPr>
            <w:tcW w:w="262" w:type="dxa"/>
            <w:tcBorders>
              <w:top w:val="nil"/>
              <w:left w:val="single" w:sz="8" w:space="0" w:color="auto"/>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8" w:type="dxa"/>
            <w:tcBorders>
              <w:top w:val="nil"/>
              <w:left w:val="nil"/>
              <w:bottom w:val="single" w:sz="8"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73,18</w:t>
            </w:r>
          </w:p>
        </w:tc>
        <w:tc>
          <w:tcPr>
            <w:tcW w:w="237"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8"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73,30</w:t>
            </w:r>
          </w:p>
        </w:tc>
        <w:tc>
          <w:tcPr>
            <w:tcW w:w="212"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28"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67,8</w:t>
            </w:r>
          </w:p>
        </w:tc>
        <w:tc>
          <w:tcPr>
            <w:tcW w:w="212"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6" w:type="dxa"/>
            <w:tcBorders>
              <w:top w:val="nil"/>
              <w:left w:val="nil"/>
              <w:bottom w:val="single" w:sz="8"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67,9</w:t>
            </w:r>
          </w:p>
        </w:tc>
        <w:tc>
          <w:tcPr>
            <w:tcW w:w="867" w:type="dxa"/>
            <w:tcBorders>
              <w:top w:val="nil"/>
              <w:left w:val="single" w:sz="8" w:space="0" w:color="auto"/>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18,00%</w:t>
            </w:r>
          </w:p>
        </w:tc>
        <w:tc>
          <w:tcPr>
            <w:tcW w:w="803" w:type="dxa"/>
            <w:tcBorders>
              <w:top w:val="nil"/>
              <w:left w:val="nil"/>
              <w:bottom w:val="single" w:sz="8"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7,95%</w:t>
            </w:r>
          </w:p>
        </w:tc>
        <w:tc>
          <w:tcPr>
            <w:tcW w:w="260" w:type="dxa"/>
            <w:tcBorders>
              <w:top w:val="nil"/>
              <w:left w:val="nil"/>
              <w:bottom w:val="nil"/>
              <w:right w:val="nil"/>
            </w:tcBorders>
            <w:shd w:val="clear" w:color="000000" w:fill="FFFFFF"/>
            <w:noWrap/>
            <w:vAlign w:val="bottom"/>
            <w:hideMark/>
          </w:tcPr>
          <w:p w:rsidR="00F34828" w:rsidRPr="00E91F53" w:rsidRDefault="00F34828" w:rsidP="00774887">
            <w:pPr>
              <w:rPr>
                <w:rFonts w:ascii="Arial" w:hAnsi="Arial" w:cs="Arial"/>
                <w:sz w:val="16"/>
                <w:szCs w:val="16"/>
                <w:lang w:eastAsia="es-CL"/>
              </w:rPr>
            </w:pPr>
            <w:r w:rsidRPr="00E91F53">
              <w:rPr>
                <w:rFonts w:ascii="Arial" w:hAnsi="Arial" w:cs="Arial"/>
                <w:sz w:val="16"/>
                <w:szCs w:val="16"/>
                <w:lang w:eastAsia="es-CL"/>
              </w:rPr>
              <w:t> </w:t>
            </w:r>
          </w:p>
        </w:tc>
        <w:tc>
          <w:tcPr>
            <w:tcW w:w="236" w:type="dxa"/>
            <w:tcBorders>
              <w:top w:val="nil"/>
              <w:left w:val="single" w:sz="8" w:space="0" w:color="auto"/>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 </w:t>
            </w:r>
          </w:p>
        </w:tc>
        <w:tc>
          <w:tcPr>
            <w:tcW w:w="437" w:type="dxa"/>
            <w:tcBorders>
              <w:top w:val="nil"/>
              <w:left w:val="nil"/>
              <w:bottom w:val="single" w:sz="8" w:space="0" w:color="auto"/>
              <w:right w:val="single" w:sz="4"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77,93</w:t>
            </w:r>
          </w:p>
        </w:tc>
        <w:tc>
          <w:tcPr>
            <w:tcW w:w="235"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color w:val="000000"/>
                <w:sz w:val="16"/>
                <w:szCs w:val="16"/>
                <w:lang w:eastAsia="es-CL"/>
              </w:rPr>
            </w:pPr>
            <w:r w:rsidRPr="00E91F53">
              <w:rPr>
                <w:rFonts w:ascii="Arial" w:hAnsi="Arial" w:cs="Arial"/>
                <w:color w:val="000000"/>
                <w:sz w:val="16"/>
                <w:szCs w:val="16"/>
                <w:lang w:eastAsia="es-CL"/>
              </w:rPr>
              <w:t xml:space="preserve">a </w:t>
            </w:r>
          </w:p>
        </w:tc>
        <w:tc>
          <w:tcPr>
            <w:tcW w:w="437" w:type="dxa"/>
            <w:tcBorders>
              <w:top w:val="nil"/>
              <w:left w:val="nil"/>
              <w:bottom w:val="single" w:sz="8" w:space="0" w:color="auto"/>
              <w:right w:val="single" w:sz="8" w:space="0" w:color="auto"/>
            </w:tcBorders>
            <w:shd w:val="clear" w:color="000000" w:fill="FFFFFF"/>
            <w:noWrap/>
            <w:vAlign w:val="bottom"/>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78,05</w:t>
            </w:r>
          </w:p>
        </w:tc>
        <w:tc>
          <w:tcPr>
            <w:tcW w:w="211"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w:t>
            </w:r>
          </w:p>
        </w:tc>
        <w:tc>
          <w:tcPr>
            <w:tcW w:w="504"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71,8</w:t>
            </w:r>
          </w:p>
        </w:tc>
        <w:tc>
          <w:tcPr>
            <w:tcW w:w="273" w:type="dxa"/>
            <w:tcBorders>
              <w:top w:val="nil"/>
              <w:left w:val="nil"/>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a</w:t>
            </w:r>
          </w:p>
        </w:tc>
        <w:tc>
          <w:tcPr>
            <w:tcW w:w="483" w:type="dxa"/>
            <w:tcBorders>
              <w:top w:val="nil"/>
              <w:left w:val="nil"/>
              <w:bottom w:val="single" w:sz="8" w:space="0" w:color="auto"/>
              <w:right w:val="nil"/>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71,9</w:t>
            </w:r>
          </w:p>
        </w:tc>
        <w:tc>
          <w:tcPr>
            <w:tcW w:w="862" w:type="dxa"/>
            <w:tcBorders>
              <w:top w:val="nil"/>
              <w:left w:val="single" w:sz="8" w:space="0" w:color="auto"/>
              <w:bottom w:val="single" w:sz="8" w:space="0" w:color="auto"/>
              <w:right w:val="single" w:sz="4"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19,50%</w:t>
            </w:r>
          </w:p>
        </w:tc>
        <w:tc>
          <w:tcPr>
            <w:tcW w:w="820" w:type="dxa"/>
            <w:tcBorders>
              <w:top w:val="nil"/>
              <w:left w:val="nil"/>
              <w:bottom w:val="single" w:sz="8" w:space="0" w:color="auto"/>
              <w:right w:val="single" w:sz="8" w:space="0" w:color="auto"/>
            </w:tcBorders>
            <w:shd w:val="clear" w:color="000000" w:fill="FFFFFF"/>
            <w:hideMark/>
          </w:tcPr>
          <w:p w:rsidR="00F34828" w:rsidRPr="00E91F53" w:rsidRDefault="00F34828" w:rsidP="00774887">
            <w:pPr>
              <w:jc w:val="center"/>
              <w:rPr>
                <w:rFonts w:ascii="Arial" w:hAnsi="Arial" w:cs="Arial"/>
                <w:sz w:val="16"/>
                <w:szCs w:val="16"/>
                <w:lang w:eastAsia="es-CL"/>
              </w:rPr>
            </w:pPr>
            <w:r w:rsidRPr="00E91F53">
              <w:rPr>
                <w:rFonts w:ascii="Arial" w:hAnsi="Arial" w:cs="Arial"/>
                <w:sz w:val="16"/>
                <w:szCs w:val="16"/>
                <w:lang w:eastAsia="es-CL"/>
              </w:rPr>
              <w:t>8,55%</w:t>
            </w:r>
          </w:p>
        </w:tc>
      </w:tr>
    </w:tbl>
    <w:p w:rsidR="00F34828" w:rsidRDefault="00F34828" w:rsidP="00F34828"/>
    <w:p w:rsidR="00F34828" w:rsidRDefault="00F34828" w:rsidP="00F34828"/>
    <w:tbl>
      <w:tblPr>
        <w:tblW w:w="4480" w:type="dxa"/>
        <w:tblInd w:w="52" w:type="dxa"/>
        <w:tblCellMar>
          <w:left w:w="70" w:type="dxa"/>
          <w:right w:w="70" w:type="dxa"/>
        </w:tblCellMar>
        <w:tblLook w:val="04A0" w:firstRow="1" w:lastRow="0" w:firstColumn="1" w:lastColumn="0" w:noHBand="0" w:noVBand="1"/>
      </w:tblPr>
      <w:tblGrid>
        <w:gridCol w:w="261"/>
        <w:gridCol w:w="541"/>
        <w:gridCol w:w="229"/>
        <w:gridCol w:w="541"/>
        <w:gridCol w:w="234"/>
        <w:gridCol w:w="454"/>
        <w:gridCol w:w="229"/>
        <w:gridCol w:w="453"/>
        <w:gridCol w:w="800"/>
        <w:gridCol w:w="738"/>
      </w:tblGrid>
      <w:tr w:rsidR="00F34828" w:rsidRPr="00730D1A" w:rsidTr="00774887">
        <w:trPr>
          <w:trHeight w:val="1393"/>
        </w:trPr>
        <w:tc>
          <w:tcPr>
            <w:tcW w:w="4480"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F34828" w:rsidRPr="00730D1A" w:rsidRDefault="000B3052" w:rsidP="00774887">
            <w:pPr>
              <w:jc w:val="both"/>
              <w:rPr>
                <w:rFonts w:ascii="Arial" w:hAnsi="Arial" w:cs="Arial"/>
                <w:sz w:val="16"/>
                <w:szCs w:val="16"/>
                <w:lang w:eastAsia="es-CL"/>
              </w:rPr>
            </w:pPr>
            <w:r w:rsidRPr="000B3052">
              <w:rPr>
                <w:rFonts w:ascii="Arial" w:hAnsi="Arial" w:cs="Arial"/>
                <w:sz w:val="18"/>
                <w:szCs w:val="18"/>
                <w:lang w:eastAsia="es-CL"/>
              </w:rPr>
              <w:t>A los EM cuyas ventas anuales determinadas conforme a la letra d) del Art. 64 bis de la LIR, excedan al valor equivalente a 50.000 TMCF, y que se acojan a lo dispuesto en el artículo 2° transitorio de la Ley 20.469, se les aplicará una tasa correspondiente al MOM, de acuerdo a las siguientes tablas:</w:t>
            </w:r>
          </w:p>
        </w:tc>
      </w:tr>
      <w:tr w:rsidR="00F34828" w:rsidRPr="00730D1A" w:rsidTr="00774887">
        <w:trPr>
          <w:trHeight w:val="690"/>
        </w:trPr>
        <w:tc>
          <w:tcPr>
            <w:tcW w:w="1372" w:type="dxa"/>
            <w:gridSpan w:val="4"/>
            <w:tcBorders>
              <w:top w:val="single" w:sz="8" w:space="0" w:color="auto"/>
              <w:left w:val="single" w:sz="8" w:space="0" w:color="auto"/>
              <w:bottom w:val="single" w:sz="8" w:space="0" w:color="auto"/>
              <w:right w:val="single" w:sz="8" w:space="0" w:color="000000"/>
            </w:tcBorders>
            <w:shd w:val="clear" w:color="000000" w:fill="969696"/>
            <w:hideMark/>
          </w:tcPr>
          <w:p w:rsidR="00F34828" w:rsidRPr="00730D1A" w:rsidRDefault="00F34828" w:rsidP="00774887">
            <w:pPr>
              <w:jc w:val="center"/>
              <w:rPr>
                <w:rFonts w:ascii="Arial" w:hAnsi="Arial" w:cs="Arial"/>
                <w:b/>
                <w:bCs/>
                <w:sz w:val="16"/>
                <w:szCs w:val="16"/>
                <w:lang w:eastAsia="es-CL"/>
              </w:rPr>
            </w:pPr>
            <w:r w:rsidRPr="00730D1A">
              <w:rPr>
                <w:rFonts w:ascii="Arial" w:hAnsi="Arial" w:cs="Arial"/>
                <w:b/>
                <w:bCs/>
                <w:sz w:val="16"/>
                <w:szCs w:val="16"/>
                <w:lang w:eastAsia="es-CL"/>
              </w:rPr>
              <w:t>Tabla 1: Margen operacional minero (antes de rebajar IEAM)</w:t>
            </w:r>
          </w:p>
        </w:tc>
        <w:tc>
          <w:tcPr>
            <w:tcW w:w="1438" w:type="dxa"/>
            <w:gridSpan w:val="4"/>
            <w:tcBorders>
              <w:top w:val="single" w:sz="8" w:space="0" w:color="auto"/>
              <w:left w:val="nil"/>
              <w:bottom w:val="single" w:sz="8" w:space="0" w:color="auto"/>
              <w:right w:val="single" w:sz="4" w:space="0" w:color="auto"/>
            </w:tcBorders>
            <w:shd w:val="clear" w:color="000000" w:fill="969696"/>
            <w:hideMark/>
          </w:tcPr>
          <w:p w:rsidR="00F34828" w:rsidRPr="00730D1A" w:rsidRDefault="00F34828" w:rsidP="00774887">
            <w:pPr>
              <w:jc w:val="center"/>
              <w:rPr>
                <w:rFonts w:ascii="Arial" w:hAnsi="Arial" w:cs="Arial"/>
                <w:b/>
                <w:bCs/>
                <w:sz w:val="16"/>
                <w:szCs w:val="16"/>
                <w:lang w:eastAsia="es-CL"/>
              </w:rPr>
            </w:pPr>
            <w:r w:rsidRPr="00730D1A">
              <w:rPr>
                <w:rFonts w:ascii="Arial" w:hAnsi="Arial" w:cs="Arial"/>
                <w:b/>
                <w:bCs/>
                <w:sz w:val="16"/>
                <w:szCs w:val="16"/>
                <w:lang w:eastAsia="es-CL"/>
              </w:rPr>
              <w:t>Tabla 2: Margen operacional minero</w:t>
            </w:r>
          </w:p>
        </w:tc>
        <w:tc>
          <w:tcPr>
            <w:tcW w:w="867" w:type="dxa"/>
            <w:tcBorders>
              <w:top w:val="nil"/>
              <w:left w:val="single" w:sz="8" w:space="0" w:color="auto"/>
              <w:bottom w:val="single" w:sz="8" w:space="0" w:color="auto"/>
              <w:right w:val="single" w:sz="4" w:space="0" w:color="auto"/>
            </w:tcBorders>
            <w:shd w:val="clear" w:color="000000" w:fill="969696"/>
            <w:hideMark/>
          </w:tcPr>
          <w:p w:rsidR="00F34828" w:rsidRPr="00730D1A" w:rsidRDefault="00F34828" w:rsidP="00774887">
            <w:pPr>
              <w:jc w:val="center"/>
              <w:rPr>
                <w:rFonts w:ascii="Arial" w:hAnsi="Arial" w:cs="Arial"/>
                <w:b/>
                <w:bCs/>
                <w:sz w:val="16"/>
                <w:szCs w:val="16"/>
                <w:lang w:eastAsia="es-CL"/>
              </w:rPr>
            </w:pPr>
            <w:r w:rsidRPr="00730D1A">
              <w:rPr>
                <w:rFonts w:ascii="Arial" w:hAnsi="Arial" w:cs="Arial"/>
                <w:b/>
                <w:bCs/>
                <w:sz w:val="16"/>
                <w:szCs w:val="16"/>
                <w:lang w:eastAsia="es-CL"/>
              </w:rPr>
              <w:t>Tabla 3: Tasa  Marginal</w:t>
            </w:r>
          </w:p>
        </w:tc>
        <w:tc>
          <w:tcPr>
            <w:tcW w:w="803" w:type="dxa"/>
            <w:tcBorders>
              <w:top w:val="nil"/>
              <w:left w:val="nil"/>
              <w:bottom w:val="single" w:sz="8" w:space="0" w:color="auto"/>
              <w:right w:val="single" w:sz="8" w:space="0" w:color="auto"/>
            </w:tcBorders>
            <w:shd w:val="clear" w:color="000000" w:fill="969696"/>
            <w:hideMark/>
          </w:tcPr>
          <w:p w:rsidR="00F34828" w:rsidRPr="00730D1A" w:rsidRDefault="00F34828" w:rsidP="00774887">
            <w:pPr>
              <w:jc w:val="center"/>
              <w:rPr>
                <w:rFonts w:ascii="Arial" w:hAnsi="Arial" w:cs="Arial"/>
                <w:b/>
                <w:bCs/>
                <w:sz w:val="16"/>
                <w:szCs w:val="16"/>
                <w:lang w:eastAsia="es-CL"/>
              </w:rPr>
            </w:pPr>
            <w:r w:rsidRPr="00730D1A">
              <w:rPr>
                <w:rFonts w:ascii="Arial" w:hAnsi="Arial" w:cs="Arial"/>
                <w:b/>
                <w:bCs/>
                <w:sz w:val="16"/>
                <w:szCs w:val="16"/>
                <w:lang w:eastAsia="es-CL"/>
              </w:rPr>
              <w:t>Tabla 4: Tasa efectiva</w:t>
            </w:r>
          </w:p>
        </w:tc>
      </w:tr>
      <w:tr w:rsidR="00F34828" w:rsidRPr="00730D1A" w:rsidTr="00774887">
        <w:trPr>
          <w:trHeight w:val="225"/>
        </w:trPr>
        <w:tc>
          <w:tcPr>
            <w:tcW w:w="261" w:type="dxa"/>
            <w:tcBorders>
              <w:top w:val="single" w:sz="4" w:space="0" w:color="auto"/>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single" w:sz="4" w:space="0" w:color="auto"/>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78,05</w:t>
            </w:r>
          </w:p>
        </w:tc>
        <w:tc>
          <w:tcPr>
            <w:tcW w:w="237" w:type="dxa"/>
            <w:tcBorders>
              <w:top w:val="single" w:sz="4" w:space="0" w:color="auto"/>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single" w:sz="4" w:space="0" w:color="auto"/>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78,17</w:t>
            </w:r>
          </w:p>
        </w:tc>
        <w:tc>
          <w:tcPr>
            <w:tcW w:w="212" w:type="dxa"/>
            <w:tcBorders>
              <w:top w:val="single" w:sz="4" w:space="0" w:color="auto"/>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single" w:sz="4" w:space="0" w:color="auto"/>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71,9</w:t>
            </w:r>
          </w:p>
        </w:tc>
        <w:tc>
          <w:tcPr>
            <w:tcW w:w="212" w:type="dxa"/>
            <w:tcBorders>
              <w:top w:val="single" w:sz="4" w:space="0" w:color="auto"/>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single" w:sz="4" w:space="0" w:color="auto"/>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72,0</w:t>
            </w:r>
          </w:p>
        </w:tc>
        <w:tc>
          <w:tcPr>
            <w:tcW w:w="867" w:type="dxa"/>
            <w:tcBorders>
              <w:top w:val="single" w:sz="4" w:space="0" w:color="auto"/>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single" w:sz="4" w:space="0" w:color="auto"/>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8,56%</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78,17</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78,28</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72,0</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72,1</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8,58%</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78,28</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78,40</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72,1</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72,2</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8,59%</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78,40</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78,52</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72,2</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72,3</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8,61%</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78,52</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78,64</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72,3</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72,4</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8,62%</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78,64</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78,76</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72,4</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72,5</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8,64%</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78,76</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78,88</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72,5</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72,6</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8,65%</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78,88</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79,00</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72,6</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72,7</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8,67%</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79,00</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79,12</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72,7</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72,8</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8,68%</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79,12</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79,24</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72,8</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72,9</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8,70%</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79,24</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79,36</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72,9</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73,0</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8,71%</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79,36</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79,48</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73,0</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73,1</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8,73%</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79,48</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79,60</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73,1</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73,2</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8,74%</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79,60</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79,72</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73,2</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73,3</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8,76%</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79,72</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79,84</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73,3</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73,4</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8,77%</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79,84</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79,96</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73,4</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73,5</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8,79%</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79,96</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80,08</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73,5</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73,6</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8,80%</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80,08</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80,20</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73,6</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73,7</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8,81%</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80,20</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80,32</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73,7</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73,8</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8,83%</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80,32</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80,44</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73,8</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73,9</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8,84%</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80,44</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80,56</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73,9</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74,0</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8,86%</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80,56</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80,67</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74,0</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74,1</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8,87%</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80,67</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80,79</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74,1</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74,2</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8,89%</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80,79</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80,91</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74,2</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74,3</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8,90%</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80,91</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81,03</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74,3</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74,4</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8,92%</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81,03</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81,15</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74,4</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74,5</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8,93%</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81,15</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81,27</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74,5</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74,6</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8,94%</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81,27</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81,39</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74,6</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74,7</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8,96%</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81,39</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81,51</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74,7</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74,8</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8,97%</w:t>
            </w:r>
          </w:p>
        </w:tc>
      </w:tr>
      <w:tr w:rsidR="00F34828" w:rsidRPr="00730D1A" w:rsidTr="00774887">
        <w:trPr>
          <w:trHeight w:val="225"/>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81,51</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81,63</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74,8</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74,9</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8,99%</w:t>
            </w:r>
          </w:p>
        </w:tc>
      </w:tr>
      <w:tr w:rsidR="00F34828" w:rsidRPr="00730D1A" w:rsidTr="00774887">
        <w:trPr>
          <w:trHeight w:val="240"/>
        </w:trPr>
        <w:tc>
          <w:tcPr>
            <w:tcW w:w="261"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 </w:t>
            </w:r>
          </w:p>
        </w:tc>
        <w:tc>
          <w:tcPr>
            <w:tcW w:w="437" w:type="dxa"/>
            <w:tcBorders>
              <w:top w:val="nil"/>
              <w:left w:val="nil"/>
              <w:bottom w:val="single" w:sz="4"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81,63</w:t>
            </w:r>
          </w:p>
        </w:tc>
        <w:tc>
          <w:tcPr>
            <w:tcW w:w="237"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xml:space="preserve">a </w:t>
            </w:r>
          </w:p>
        </w:tc>
        <w:tc>
          <w:tcPr>
            <w:tcW w:w="437" w:type="dxa"/>
            <w:tcBorders>
              <w:top w:val="nil"/>
              <w:left w:val="nil"/>
              <w:bottom w:val="single" w:sz="4"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81,75</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74,9</w:t>
            </w:r>
          </w:p>
        </w:tc>
        <w:tc>
          <w:tcPr>
            <w:tcW w:w="212" w:type="dxa"/>
            <w:tcBorders>
              <w:top w:val="nil"/>
              <w:left w:val="nil"/>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a</w:t>
            </w:r>
          </w:p>
        </w:tc>
        <w:tc>
          <w:tcPr>
            <w:tcW w:w="486" w:type="dxa"/>
            <w:tcBorders>
              <w:top w:val="nil"/>
              <w:left w:val="nil"/>
              <w:bottom w:val="single" w:sz="4"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75,0</w:t>
            </w:r>
          </w:p>
        </w:tc>
        <w:tc>
          <w:tcPr>
            <w:tcW w:w="867" w:type="dxa"/>
            <w:tcBorders>
              <w:top w:val="nil"/>
              <w:left w:val="single" w:sz="8" w:space="0" w:color="auto"/>
              <w:bottom w:val="single" w:sz="4"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19,50%</w:t>
            </w:r>
          </w:p>
        </w:tc>
        <w:tc>
          <w:tcPr>
            <w:tcW w:w="803" w:type="dxa"/>
            <w:tcBorders>
              <w:top w:val="nil"/>
              <w:left w:val="nil"/>
              <w:bottom w:val="single" w:sz="4"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9,00%</w:t>
            </w:r>
          </w:p>
        </w:tc>
      </w:tr>
      <w:tr w:rsidR="00F34828" w:rsidRPr="00730D1A" w:rsidTr="00774887">
        <w:trPr>
          <w:trHeight w:val="240"/>
        </w:trPr>
        <w:tc>
          <w:tcPr>
            <w:tcW w:w="261" w:type="dxa"/>
            <w:tcBorders>
              <w:top w:val="nil"/>
              <w:left w:val="single" w:sz="8" w:space="0" w:color="auto"/>
              <w:bottom w:val="single" w:sz="8"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w:t>
            </w:r>
          </w:p>
        </w:tc>
        <w:tc>
          <w:tcPr>
            <w:tcW w:w="437" w:type="dxa"/>
            <w:tcBorders>
              <w:top w:val="nil"/>
              <w:left w:val="nil"/>
              <w:bottom w:val="single" w:sz="8" w:space="0" w:color="auto"/>
              <w:right w:val="single" w:sz="4"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81,75</w:t>
            </w:r>
          </w:p>
        </w:tc>
        <w:tc>
          <w:tcPr>
            <w:tcW w:w="237" w:type="dxa"/>
            <w:tcBorders>
              <w:top w:val="nil"/>
              <w:left w:val="nil"/>
              <w:bottom w:val="single" w:sz="8" w:space="0" w:color="auto"/>
              <w:right w:val="single" w:sz="4" w:space="0" w:color="auto"/>
            </w:tcBorders>
            <w:shd w:val="clear" w:color="000000" w:fill="FFFFFF"/>
            <w:hideMark/>
          </w:tcPr>
          <w:p w:rsidR="00F34828" w:rsidRPr="00730D1A" w:rsidRDefault="00F34828" w:rsidP="00774887">
            <w:pPr>
              <w:jc w:val="center"/>
              <w:rPr>
                <w:rFonts w:ascii="Arial" w:hAnsi="Arial" w:cs="Arial"/>
                <w:color w:val="000000"/>
                <w:sz w:val="16"/>
                <w:szCs w:val="16"/>
                <w:lang w:eastAsia="es-CL"/>
              </w:rPr>
            </w:pPr>
            <w:r w:rsidRPr="00730D1A">
              <w:rPr>
                <w:rFonts w:ascii="Arial" w:hAnsi="Arial" w:cs="Arial"/>
                <w:color w:val="000000"/>
                <w:sz w:val="16"/>
                <w:szCs w:val="16"/>
                <w:lang w:eastAsia="es-CL"/>
              </w:rPr>
              <w:t> </w:t>
            </w:r>
          </w:p>
        </w:tc>
        <w:tc>
          <w:tcPr>
            <w:tcW w:w="437" w:type="dxa"/>
            <w:tcBorders>
              <w:top w:val="nil"/>
              <w:left w:val="nil"/>
              <w:bottom w:val="single" w:sz="8" w:space="0" w:color="auto"/>
              <w:right w:val="single" w:sz="8" w:space="0" w:color="auto"/>
            </w:tcBorders>
            <w:shd w:val="clear" w:color="000000" w:fill="FFFFFF"/>
            <w:noWrap/>
            <w:vAlign w:val="bottom"/>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 </w:t>
            </w:r>
          </w:p>
        </w:tc>
        <w:tc>
          <w:tcPr>
            <w:tcW w:w="212" w:type="dxa"/>
            <w:tcBorders>
              <w:top w:val="nil"/>
              <w:left w:val="nil"/>
              <w:bottom w:val="single" w:sz="8"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w:t>
            </w:r>
          </w:p>
        </w:tc>
        <w:tc>
          <w:tcPr>
            <w:tcW w:w="528" w:type="dxa"/>
            <w:tcBorders>
              <w:top w:val="nil"/>
              <w:left w:val="nil"/>
              <w:bottom w:val="single" w:sz="8"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75</w:t>
            </w:r>
          </w:p>
        </w:tc>
        <w:tc>
          <w:tcPr>
            <w:tcW w:w="212" w:type="dxa"/>
            <w:tcBorders>
              <w:top w:val="nil"/>
              <w:left w:val="nil"/>
              <w:bottom w:val="single" w:sz="8"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 </w:t>
            </w:r>
          </w:p>
        </w:tc>
        <w:tc>
          <w:tcPr>
            <w:tcW w:w="486" w:type="dxa"/>
            <w:tcBorders>
              <w:top w:val="nil"/>
              <w:left w:val="nil"/>
              <w:bottom w:val="single" w:sz="8" w:space="0" w:color="auto"/>
              <w:right w:val="nil"/>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 </w:t>
            </w:r>
          </w:p>
        </w:tc>
        <w:tc>
          <w:tcPr>
            <w:tcW w:w="867" w:type="dxa"/>
            <w:tcBorders>
              <w:top w:val="nil"/>
              <w:left w:val="single" w:sz="8" w:space="0" w:color="auto"/>
              <w:bottom w:val="single" w:sz="8" w:space="0" w:color="auto"/>
              <w:right w:val="single" w:sz="4"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9,00%</w:t>
            </w:r>
          </w:p>
        </w:tc>
        <w:tc>
          <w:tcPr>
            <w:tcW w:w="803" w:type="dxa"/>
            <w:tcBorders>
              <w:top w:val="nil"/>
              <w:left w:val="nil"/>
              <w:bottom w:val="single" w:sz="8" w:space="0" w:color="auto"/>
              <w:right w:val="single" w:sz="8" w:space="0" w:color="auto"/>
            </w:tcBorders>
            <w:shd w:val="clear" w:color="000000" w:fill="FFFFFF"/>
            <w:hideMark/>
          </w:tcPr>
          <w:p w:rsidR="00F34828" w:rsidRPr="00730D1A" w:rsidRDefault="00F34828" w:rsidP="00774887">
            <w:pPr>
              <w:jc w:val="center"/>
              <w:rPr>
                <w:rFonts w:ascii="Arial" w:hAnsi="Arial" w:cs="Arial"/>
                <w:sz w:val="16"/>
                <w:szCs w:val="16"/>
                <w:lang w:eastAsia="es-CL"/>
              </w:rPr>
            </w:pPr>
            <w:r w:rsidRPr="00730D1A">
              <w:rPr>
                <w:rFonts w:ascii="Arial" w:hAnsi="Arial" w:cs="Arial"/>
                <w:sz w:val="16"/>
                <w:szCs w:val="16"/>
                <w:lang w:eastAsia="es-CL"/>
              </w:rPr>
              <w:t>9,00%</w:t>
            </w:r>
          </w:p>
        </w:tc>
      </w:tr>
    </w:tbl>
    <w:p w:rsidR="00F34828" w:rsidRDefault="00F34828" w:rsidP="00F34828"/>
    <w:p w:rsidR="00F34828" w:rsidRDefault="00F34828" w:rsidP="00F34828"/>
    <w:p w:rsidR="00AF1415" w:rsidRDefault="00AF1415" w:rsidP="00811D72">
      <w:pPr>
        <w:autoSpaceDE w:val="0"/>
        <w:autoSpaceDN w:val="0"/>
        <w:adjustRightInd w:val="0"/>
        <w:ind w:right="-162"/>
        <w:jc w:val="both"/>
        <w:rPr>
          <w:rFonts w:ascii="Arial" w:hAnsi="Arial" w:cs="Arial"/>
          <w:b/>
          <w:sz w:val="22"/>
          <w:szCs w:val="22"/>
        </w:rPr>
        <w:sectPr w:rsidR="00AF1415" w:rsidSect="005672D4">
          <w:headerReference w:type="default" r:id="rId13"/>
          <w:pgSz w:w="12240" w:h="15840"/>
          <w:pgMar w:top="1417" w:right="1701" w:bottom="1417" w:left="1701" w:header="708" w:footer="708" w:gutter="0"/>
          <w:cols w:space="708"/>
          <w:docGrid w:linePitch="360"/>
        </w:sectPr>
      </w:pPr>
    </w:p>
    <w:p w:rsidR="00F34828" w:rsidRPr="004C6C01" w:rsidRDefault="003C280D" w:rsidP="00811D72">
      <w:pPr>
        <w:autoSpaceDE w:val="0"/>
        <w:autoSpaceDN w:val="0"/>
        <w:adjustRightInd w:val="0"/>
        <w:ind w:right="-162"/>
        <w:jc w:val="both"/>
        <w:rPr>
          <w:rFonts w:ascii="Arial" w:hAnsi="Arial" w:cs="Arial"/>
          <w:b/>
        </w:rPr>
      </w:pPr>
      <w:r w:rsidRPr="004C6C01">
        <w:rPr>
          <w:rFonts w:ascii="Arial" w:hAnsi="Arial" w:cs="Arial"/>
          <w:b/>
        </w:rPr>
        <w:t>ANEXO N°9</w:t>
      </w:r>
      <w:r w:rsidR="001A6A24" w:rsidRPr="004C6C01">
        <w:rPr>
          <w:rFonts w:ascii="Arial" w:hAnsi="Arial" w:cs="Arial"/>
          <w:b/>
        </w:rPr>
        <w:t xml:space="preserve"> RESUMEN REGÍMENES DE INVARIABILIDAD TRIBUTARIA.</w:t>
      </w:r>
    </w:p>
    <w:p w:rsidR="00D41D79" w:rsidRDefault="00D41D79" w:rsidP="00811D72">
      <w:pPr>
        <w:autoSpaceDE w:val="0"/>
        <w:autoSpaceDN w:val="0"/>
        <w:adjustRightInd w:val="0"/>
        <w:ind w:right="-162"/>
        <w:jc w:val="both"/>
        <w:rPr>
          <w:rFonts w:ascii="Arial" w:hAnsi="Arial" w:cs="Arial"/>
          <w:b/>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4118"/>
        <w:gridCol w:w="2765"/>
        <w:gridCol w:w="1030"/>
        <w:gridCol w:w="2894"/>
      </w:tblGrid>
      <w:tr w:rsidR="00D41D79" w:rsidRPr="00D41D79" w:rsidTr="00E66749">
        <w:tc>
          <w:tcPr>
            <w:tcW w:w="2219" w:type="dxa"/>
          </w:tcPr>
          <w:p w:rsidR="00D41D79" w:rsidRPr="00D41D79" w:rsidRDefault="00D41D79" w:rsidP="00D41D79">
            <w:pPr>
              <w:spacing w:before="120" w:after="120"/>
              <w:jc w:val="center"/>
              <w:rPr>
                <w:rFonts w:ascii="Calibri" w:eastAsia="Calibri" w:hAnsi="Calibri"/>
                <w:b/>
                <w:sz w:val="18"/>
                <w:szCs w:val="18"/>
                <w:lang w:val="es-CL" w:eastAsia="en-US"/>
              </w:rPr>
            </w:pPr>
            <w:r w:rsidRPr="00D41D79">
              <w:rPr>
                <w:rFonts w:ascii="Calibri" w:eastAsia="Calibri" w:hAnsi="Calibri"/>
                <w:b/>
                <w:sz w:val="18"/>
                <w:szCs w:val="18"/>
                <w:lang w:val="es-CL" w:eastAsia="en-US"/>
              </w:rPr>
              <w:t>DISPOSICION LEGAL</w:t>
            </w:r>
          </w:p>
        </w:tc>
        <w:tc>
          <w:tcPr>
            <w:tcW w:w="4208" w:type="dxa"/>
          </w:tcPr>
          <w:p w:rsidR="00D41D79" w:rsidRPr="00D41D79" w:rsidRDefault="00D41D79" w:rsidP="00D41D79">
            <w:pPr>
              <w:spacing w:before="120" w:after="120"/>
              <w:jc w:val="center"/>
              <w:rPr>
                <w:rFonts w:ascii="Calibri" w:eastAsia="Calibri" w:hAnsi="Calibri"/>
                <w:b/>
                <w:sz w:val="18"/>
                <w:szCs w:val="18"/>
                <w:lang w:val="es-CL" w:eastAsia="en-US"/>
              </w:rPr>
            </w:pPr>
            <w:r w:rsidRPr="00D41D79">
              <w:rPr>
                <w:rFonts w:ascii="Calibri" w:eastAsia="Calibri" w:hAnsi="Calibri"/>
                <w:b/>
                <w:sz w:val="18"/>
                <w:szCs w:val="18"/>
                <w:lang w:val="es-CL" w:eastAsia="en-US"/>
              </w:rPr>
              <w:t>DESCRIPCION DEL BENEFICIO</w:t>
            </w:r>
          </w:p>
        </w:tc>
        <w:tc>
          <w:tcPr>
            <w:tcW w:w="2812" w:type="dxa"/>
          </w:tcPr>
          <w:p w:rsidR="00D41D79" w:rsidRPr="00D41D79" w:rsidRDefault="00D41D79" w:rsidP="00D41D79">
            <w:pPr>
              <w:spacing w:before="120" w:after="120"/>
              <w:jc w:val="center"/>
              <w:rPr>
                <w:rFonts w:ascii="Calibri" w:eastAsia="Calibri" w:hAnsi="Calibri"/>
                <w:b/>
                <w:sz w:val="18"/>
                <w:szCs w:val="18"/>
                <w:lang w:val="es-CL" w:eastAsia="en-US"/>
              </w:rPr>
            </w:pPr>
            <w:r w:rsidRPr="00D41D79">
              <w:rPr>
                <w:rFonts w:ascii="Calibri" w:eastAsia="Calibri" w:hAnsi="Calibri"/>
                <w:b/>
                <w:sz w:val="18"/>
                <w:szCs w:val="18"/>
                <w:lang w:val="es-CL" w:eastAsia="en-US"/>
              </w:rPr>
              <w:t>BENEFICIARIO</w:t>
            </w:r>
          </w:p>
        </w:tc>
        <w:tc>
          <w:tcPr>
            <w:tcW w:w="1034" w:type="dxa"/>
          </w:tcPr>
          <w:p w:rsidR="00D41D79" w:rsidRPr="00D41D79" w:rsidRDefault="00D41D79" w:rsidP="00D41D79">
            <w:pPr>
              <w:spacing w:before="120" w:after="120"/>
              <w:jc w:val="center"/>
              <w:rPr>
                <w:rFonts w:ascii="Calibri" w:eastAsia="Calibri" w:hAnsi="Calibri"/>
                <w:b/>
                <w:sz w:val="18"/>
                <w:szCs w:val="18"/>
                <w:lang w:val="es-CL" w:eastAsia="en-US"/>
              </w:rPr>
            </w:pPr>
            <w:r w:rsidRPr="00D41D79">
              <w:rPr>
                <w:rFonts w:ascii="Calibri" w:eastAsia="Calibri" w:hAnsi="Calibri"/>
                <w:b/>
                <w:sz w:val="18"/>
                <w:szCs w:val="18"/>
                <w:lang w:val="es-CL" w:eastAsia="en-US"/>
              </w:rPr>
              <w:t>TASA MAXIMA</w:t>
            </w:r>
          </w:p>
        </w:tc>
        <w:tc>
          <w:tcPr>
            <w:tcW w:w="2947" w:type="dxa"/>
          </w:tcPr>
          <w:p w:rsidR="00D41D79" w:rsidRPr="00D41D79" w:rsidRDefault="00D41D79" w:rsidP="00D41D79">
            <w:pPr>
              <w:spacing w:before="120" w:after="120"/>
              <w:jc w:val="center"/>
              <w:rPr>
                <w:rFonts w:ascii="Calibri" w:eastAsia="Calibri" w:hAnsi="Calibri"/>
                <w:b/>
                <w:sz w:val="18"/>
                <w:szCs w:val="18"/>
                <w:lang w:val="es-CL" w:eastAsia="en-US"/>
              </w:rPr>
            </w:pPr>
            <w:r w:rsidRPr="00D41D79">
              <w:rPr>
                <w:rFonts w:ascii="Calibri" w:eastAsia="Calibri" w:hAnsi="Calibri"/>
                <w:b/>
                <w:sz w:val="18"/>
                <w:szCs w:val="18"/>
                <w:lang w:val="es-CL" w:eastAsia="en-US"/>
              </w:rPr>
              <w:t>PLAZO</w:t>
            </w:r>
          </w:p>
        </w:tc>
      </w:tr>
      <w:tr w:rsidR="00D41D79" w:rsidRPr="00D41D79" w:rsidTr="00E66749">
        <w:tc>
          <w:tcPr>
            <w:tcW w:w="2219" w:type="dxa"/>
          </w:tcPr>
          <w:p w:rsidR="00D41D79" w:rsidRPr="00D41D79" w:rsidRDefault="00D41D79" w:rsidP="00D41D79">
            <w:pPr>
              <w:rPr>
                <w:rFonts w:ascii="Calibri" w:eastAsia="Calibri" w:hAnsi="Calibri"/>
                <w:sz w:val="18"/>
                <w:szCs w:val="18"/>
                <w:lang w:val="es-CL" w:eastAsia="en-US"/>
              </w:rPr>
            </w:pP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Art. 7 D.L. 600/74</w:t>
            </w:r>
          </w:p>
        </w:tc>
        <w:tc>
          <w:tcPr>
            <w:tcW w:w="4208"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Invariabilidad de la carga impositiva efectiva total a la renta. Para determinar ésta, no se considerará el impuesto del art. 64 bis de la LIR.</w:t>
            </w:r>
            <w:r w:rsidRPr="00D41D79">
              <w:rPr>
                <w:rFonts w:ascii="Calibri" w:eastAsia="Calibri" w:hAnsi="Calibri"/>
                <w:sz w:val="18"/>
                <w:vertAlign w:val="superscript"/>
                <w:lang w:val="es-CL" w:eastAsia="en-US"/>
              </w:rPr>
              <w:footnoteReference w:id="23"/>
            </w:r>
          </w:p>
        </w:tc>
        <w:tc>
          <w:tcPr>
            <w:tcW w:w="2812" w:type="dxa"/>
          </w:tcPr>
          <w:p w:rsidR="00D41D79" w:rsidRPr="00D41D79" w:rsidRDefault="00D41D79" w:rsidP="00D41D79">
            <w:pPr>
              <w:spacing w:before="240" w:after="120"/>
              <w:rPr>
                <w:rFonts w:ascii="Calibri" w:eastAsia="Calibri" w:hAnsi="Calibri"/>
                <w:sz w:val="18"/>
                <w:szCs w:val="18"/>
                <w:lang w:val="es-CL" w:eastAsia="en-US"/>
              </w:rPr>
            </w:pPr>
            <w:r w:rsidRPr="00D41D79">
              <w:rPr>
                <w:rFonts w:ascii="Calibri" w:eastAsia="Calibri" w:hAnsi="Calibri"/>
                <w:sz w:val="18"/>
                <w:szCs w:val="18"/>
                <w:lang w:val="es-CL" w:eastAsia="en-US"/>
              </w:rPr>
              <w:t>Titulares de inversiones extranjeras acogidas  al D.L. 600, de 1974.</w:t>
            </w:r>
          </w:p>
        </w:tc>
        <w:tc>
          <w:tcPr>
            <w:tcW w:w="1034" w:type="dxa"/>
          </w:tcPr>
          <w:p w:rsidR="00D41D79" w:rsidRPr="00D41D79" w:rsidRDefault="00D41D79" w:rsidP="00D41D79">
            <w:pPr>
              <w:jc w:val="center"/>
              <w:rPr>
                <w:rFonts w:ascii="Calibri" w:eastAsia="Calibri" w:hAnsi="Calibri"/>
                <w:sz w:val="18"/>
                <w:szCs w:val="18"/>
                <w:lang w:val="es-CL" w:eastAsia="en-US"/>
              </w:rPr>
            </w:pPr>
          </w:p>
          <w:p w:rsidR="00D41D79" w:rsidRPr="00D41D79" w:rsidRDefault="00D41D79" w:rsidP="00D41D79">
            <w:pPr>
              <w:spacing w:before="120" w:after="120"/>
              <w:jc w:val="center"/>
              <w:rPr>
                <w:rFonts w:ascii="Calibri" w:eastAsia="Calibri" w:hAnsi="Calibri"/>
                <w:sz w:val="18"/>
                <w:szCs w:val="18"/>
                <w:lang w:val="es-CL" w:eastAsia="en-US"/>
              </w:rPr>
            </w:pPr>
            <w:r w:rsidRPr="00D41D79">
              <w:rPr>
                <w:rFonts w:ascii="Calibri" w:eastAsia="Calibri" w:hAnsi="Calibri"/>
                <w:sz w:val="18"/>
                <w:szCs w:val="18"/>
                <w:lang w:val="es-CL" w:eastAsia="en-US"/>
              </w:rPr>
              <w:t>42%</w:t>
            </w:r>
          </w:p>
        </w:tc>
        <w:tc>
          <w:tcPr>
            <w:tcW w:w="2947" w:type="dxa"/>
          </w:tcPr>
          <w:p w:rsidR="00D41D79" w:rsidRPr="00D41D79" w:rsidRDefault="00D41D79" w:rsidP="00D41D79">
            <w:pPr>
              <w:spacing w:before="240"/>
              <w:rPr>
                <w:rFonts w:ascii="Calibri" w:eastAsia="Calibri" w:hAnsi="Calibri"/>
                <w:sz w:val="18"/>
                <w:szCs w:val="18"/>
                <w:lang w:val="es-CL" w:eastAsia="en-US"/>
              </w:rPr>
            </w:pPr>
            <w:r w:rsidRPr="00D41D79">
              <w:rPr>
                <w:rFonts w:ascii="Calibri" w:eastAsia="Calibri" w:hAnsi="Calibri"/>
                <w:sz w:val="18"/>
                <w:szCs w:val="18"/>
                <w:lang w:val="es-CL" w:eastAsia="en-US"/>
              </w:rPr>
              <w:t>10 años contados desde la puesta en marcha de la respectiva empresa.</w:t>
            </w:r>
          </w:p>
          <w:p w:rsidR="00D41D79" w:rsidRPr="00D41D79" w:rsidRDefault="00D41D79" w:rsidP="00D41D79">
            <w:pPr>
              <w:spacing w:before="120" w:after="240"/>
              <w:rPr>
                <w:rFonts w:ascii="Calibri" w:eastAsia="Calibri" w:hAnsi="Calibri"/>
                <w:sz w:val="18"/>
                <w:szCs w:val="18"/>
                <w:lang w:val="es-CL" w:eastAsia="en-US"/>
              </w:rPr>
            </w:pPr>
            <w:r w:rsidRPr="00D41D79">
              <w:rPr>
                <w:rFonts w:ascii="Calibri" w:eastAsia="Calibri" w:hAnsi="Calibri"/>
                <w:sz w:val="18"/>
                <w:szCs w:val="18"/>
                <w:lang w:val="es-CL" w:eastAsia="en-US"/>
              </w:rPr>
              <w:t>Renunciable una sola vez.</w:t>
            </w:r>
          </w:p>
        </w:tc>
      </w:tr>
      <w:tr w:rsidR="00D41D79" w:rsidRPr="00D41D79" w:rsidTr="00E66749">
        <w:tc>
          <w:tcPr>
            <w:tcW w:w="2219" w:type="dxa"/>
          </w:tcPr>
          <w:p w:rsidR="00D41D79" w:rsidRPr="00D41D79" w:rsidRDefault="00D41D79" w:rsidP="00D41D79">
            <w:pPr>
              <w:rPr>
                <w:rFonts w:ascii="Calibri" w:eastAsia="Calibri" w:hAnsi="Calibri"/>
                <w:sz w:val="18"/>
                <w:szCs w:val="18"/>
                <w:lang w:val="es-CL" w:eastAsia="en-US"/>
              </w:rPr>
            </w:pP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Art. 11 Bis N°1 D.L. 600/74</w:t>
            </w:r>
          </w:p>
        </w:tc>
        <w:tc>
          <w:tcPr>
            <w:tcW w:w="4208"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Invariabilidad de la carga impositiva efectiva total a la renta. Para determinar ésta, no se considerará el impuesto del art. 64 bis de la LIR.</w:t>
            </w:r>
            <w:r w:rsidRPr="00D41D79">
              <w:rPr>
                <w:rFonts w:ascii="Calibri" w:eastAsia="Calibri" w:hAnsi="Calibri"/>
                <w:sz w:val="18"/>
                <w:vertAlign w:val="superscript"/>
                <w:lang w:val="es-CL" w:eastAsia="en-US"/>
              </w:rPr>
              <w:footnoteReference w:id="24"/>
            </w:r>
          </w:p>
        </w:tc>
        <w:tc>
          <w:tcPr>
            <w:tcW w:w="2812"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Titulares de inversiones extranjeras acogidas  al D.L. 600, de 1974 por un monto igual o superior a US$50 millones, y que tengan por objeto el desarrollo de proyectos industriales o extractivos incluyendo los mineros.</w:t>
            </w:r>
          </w:p>
        </w:tc>
        <w:tc>
          <w:tcPr>
            <w:tcW w:w="1034" w:type="dxa"/>
          </w:tcPr>
          <w:p w:rsidR="00D41D79" w:rsidRPr="00D41D79" w:rsidRDefault="00D41D79" w:rsidP="00D41D79">
            <w:pPr>
              <w:spacing w:before="120" w:after="120"/>
              <w:jc w:val="center"/>
              <w:rPr>
                <w:rFonts w:ascii="Calibri" w:eastAsia="Calibri" w:hAnsi="Calibri"/>
                <w:sz w:val="18"/>
                <w:szCs w:val="18"/>
                <w:lang w:val="es-CL" w:eastAsia="en-US"/>
              </w:rPr>
            </w:pPr>
            <w:r w:rsidRPr="00D41D79">
              <w:rPr>
                <w:rFonts w:ascii="Calibri" w:eastAsia="Calibri" w:hAnsi="Calibri"/>
                <w:sz w:val="18"/>
                <w:szCs w:val="18"/>
                <w:lang w:val="es-CL" w:eastAsia="en-US"/>
              </w:rPr>
              <w:t>42%</w:t>
            </w:r>
          </w:p>
        </w:tc>
        <w:tc>
          <w:tcPr>
            <w:tcW w:w="2947"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Plazo compatible con la duración estimada del proyecto. No puede exceder de un total de 20 años.</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Renunciable una sola vez.</w:t>
            </w:r>
          </w:p>
        </w:tc>
      </w:tr>
      <w:tr w:rsidR="00D41D79" w:rsidRPr="00D41D79" w:rsidTr="00E66749">
        <w:tc>
          <w:tcPr>
            <w:tcW w:w="2219"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Art. 11 Bis N°2 D.L. 600/74</w:t>
            </w:r>
          </w:p>
        </w:tc>
        <w:tc>
          <w:tcPr>
            <w:tcW w:w="4208"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Invariabilidad de las normas legales y de las resoluciones o circulares del SII, vigentes a la fecha de suscripción del contrato de inversión extranjera, en lo relativo a regímenes de depreciación de activos, arrastre de pérdidas y gastos de organización y puesta en marcha.</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También podrá incluirse la resolución que autorice al inversionista o a la empresa receptora del aporte para llevar su contabilidad en moneda extranjera.</w:t>
            </w:r>
          </w:p>
        </w:tc>
        <w:tc>
          <w:tcPr>
            <w:tcW w:w="2812"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Titulares de inversiones extranjeras acogidas  al D.L. 600, de 1974 por un monto igual o superior a US$50 millones o las empresas receptoras de los aportes, y que tengan por objeto el desarrollo de proyectos industriales o extractivos incluyendo los mineros.</w:t>
            </w:r>
          </w:p>
        </w:tc>
        <w:tc>
          <w:tcPr>
            <w:tcW w:w="1034" w:type="dxa"/>
          </w:tcPr>
          <w:p w:rsidR="00D41D79" w:rsidRPr="00D41D79" w:rsidRDefault="00D41D79" w:rsidP="00D41D79">
            <w:pPr>
              <w:spacing w:before="120" w:after="120"/>
              <w:jc w:val="center"/>
              <w:rPr>
                <w:rFonts w:ascii="Calibri" w:eastAsia="Calibri" w:hAnsi="Calibri"/>
                <w:sz w:val="18"/>
                <w:szCs w:val="18"/>
                <w:lang w:val="es-CL" w:eastAsia="en-US"/>
              </w:rPr>
            </w:pPr>
            <w:r w:rsidRPr="00D41D79">
              <w:rPr>
                <w:rFonts w:ascii="Calibri" w:eastAsia="Calibri" w:hAnsi="Calibri"/>
                <w:sz w:val="18"/>
                <w:szCs w:val="18"/>
                <w:lang w:val="es-CL" w:eastAsia="en-US"/>
              </w:rPr>
              <w:t>No aplica</w:t>
            </w:r>
          </w:p>
        </w:tc>
        <w:tc>
          <w:tcPr>
            <w:tcW w:w="2947"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Mientras se mantenga vigente la invariabilidad del art. 7 o del art. 11 bis N°1 del DL 600/74.</w:t>
            </w:r>
          </w:p>
          <w:p w:rsid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Tope: 20 años.</w:t>
            </w:r>
          </w:p>
          <w:p w:rsidR="00F8237B" w:rsidRPr="00D41D79" w:rsidRDefault="00F8237B" w:rsidP="00D41D79">
            <w:pPr>
              <w:spacing w:before="120" w:after="120"/>
              <w:rPr>
                <w:rFonts w:ascii="Calibri" w:eastAsia="Calibri" w:hAnsi="Calibri"/>
                <w:sz w:val="18"/>
                <w:szCs w:val="18"/>
                <w:lang w:val="es-CL" w:eastAsia="en-US"/>
              </w:rPr>
            </w:pPr>
            <w:r>
              <w:rPr>
                <w:rFonts w:ascii="Calibri" w:eastAsia="Calibri" w:hAnsi="Calibri"/>
                <w:sz w:val="18"/>
                <w:szCs w:val="18"/>
                <w:lang w:val="es-CL" w:eastAsia="en-US"/>
              </w:rPr>
              <w:t>Renunciable una sola vez.</w:t>
            </w:r>
          </w:p>
        </w:tc>
      </w:tr>
    </w:tbl>
    <w:p w:rsidR="00D41D79" w:rsidRPr="00D41D79" w:rsidRDefault="00D41D79" w:rsidP="00D41D79">
      <w:pPr>
        <w:spacing w:after="200" w:line="276" w:lineRule="auto"/>
        <w:rPr>
          <w:rFonts w:ascii="Calibri" w:eastAsia="Calibri" w:hAnsi="Calibri"/>
          <w:sz w:val="22"/>
          <w:szCs w:val="22"/>
          <w:lang w:val="es-CL" w:eastAsia="en-US"/>
        </w:rPr>
      </w:pPr>
      <w:r w:rsidRPr="00D41D79">
        <w:rPr>
          <w:rFonts w:ascii="Calibri" w:eastAsia="Calibri" w:hAnsi="Calibri"/>
          <w:sz w:val="22"/>
          <w:szCs w:val="22"/>
          <w:lang w:val="es-CL" w:eastAsia="en-U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4"/>
        <w:gridCol w:w="4121"/>
        <w:gridCol w:w="2764"/>
        <w:gridCol w:w="1034"/>
        <w:gridCol w:w="2893"/>
      </w:tblGrid>
      <w:tr w:rsidR="00D41D79" w:rsidRPr="00D41D79" w:rsidTr="00E66749">
        <w:tc>
          <w:tcPr>
            <w:tcW w:w="2219"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Art. 11 Ter D.L. 600/74</w:t>
            </w:r>
          </w:p>
        </w:tc>
        <w:tc>
          <w:tcPr>
            <w:tcW w:w="4208"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Invariabilidad de las normas legales vigentes a la fecha de suscripción del contrato, en lo relativo al impto. del 64 bis LIR (incluye tasa y base imponible)</w:t>
            </w:r>
            <w:r w:rsidRPr="00D41D79">
              <w:rPr>
                <w:rFonts w:ascii="Calibri" w:eastAsia="Calibri" w:hAnsi="Calibri"/>
                <w:sz w:val="18"/>
                <w:vertAlign w:val="superscript"/>
                <w:lang w:val="es-CL" w:eastAsia="en-US"/>
              </w:rPr>
              <w:footnoteReference w:id="25"/>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No estarán afectos a cualquier nuevo tributo, incluidas las regalías, cánones o cargas similares, específico para la actividad minera, que se establezca luego de la fecha de suscripción del contrato de inversión respectivo, que tenga como base o considere en la determinación de su base o monto, los ingresos por actividades mineras o las inversiones o los bienes o derechos utilizados en actividades mineras.</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No se verán afectados por modificaciones que se introduzcan al monto o forma de cálculo de las patentes mineras</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Las instrucciones sobre este particular se encuentran contenidas en la Circular N°60, de 2005.</w:t>
            </w:r>
          </w:p>
        </w:tc>
        <w:tc>
          <w:tcPr>
            <w:tcW w:w="2812"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Titulares de inversiones extranjeras acogidas al D.L 600/74 que tengan por objeto el desarrollo de proyectos mineros por un monto igual o superior a US$50 millones.</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Observación: beneficio incompatible con los del art. 7 y 11 bis N°1 y 2 del D.L. 600/74, excepto aquel que se refiere a la contabilidad en moneda extranjera</w:t>
            </w:r>
          </w:p>
        </w:tc>
        <w:tc>
          <w:tcPr>
            <w:tcW w:w="1034" w:type="dxa"/>
          </w:tcPr>
          <w:p w:rsidR="00D41D79" w:rsidRPr="00D41D79" w:rsidRDefault="00D41D79" w:rsidP="00D41D79">
            <w:pPr>
              <w:spacing w:before="120" w:after="120"/>
              <w:jc w:val="center"/>
              <w:rPr>
                <w:rFonts w:ascii="Calibri" w:eastAsia="Calibri" w:hAnsi="Calibri"/>
                <w:sz w:val="18"/>
                <w:szCs w:val="18"/>
                <w:lang w:val="es-CL" w:eastAsia="en-US"/>
              </w:rPr>
            </w:pPr>
            <w:r w:rsidRPr="00D41D79">
              <w:rPr>
                <w:rFonts w:ascii="Calibri" w:eastAsia="Calibri" w:hAnsi="Calibri"/>
                <w:sz w:val="18"/>
                <w:szCs w:val="18"/>
                <w:lang w:val="es-CL" w:eastAsia="en-US"/>
              </w:rPr>
              <w:t>Tasas vigentes a la fecha suscripción del contrato</w:t>
            </w:r>
          </w:p>
        </w:tc>
        <w:tc>
          <w:tcPr>
            <w:tcW w:w="2947"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15 años, que se contará por años calendarios, desde aquél en que ocurra la puesta en marcha de la empresa.</w:t>
            </w:r>
          </w:p>
        </w:tc>
      </w:tr>
      <w:tr w:rsidR="00D41D79" w:rsidRPr="00D41D79" w:rsidTr="00E66749">
        <w:tc>
          <w:tcPr>
            <w:tcW w:w="2219"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Art. 2 Transitorio Ley N°20.026</w:t>
            </w:r>
          </w:p>
        </w:tc>
        <w:tc>
          <w:tcPr>
            <w:tcW w:w="4208"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No se aplicará el impuesto del art. 64 bis de la LIR.</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Las instrucciones sobre este particular se encuentran contenidas en la Circular N°60, de 2005.</w:t>
            </w:r>
          </w:p>
        </w:tc>
        <w:tc>
          <w:tcPr>
            <w:tcW w:w="2812"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Inversionistas extranjeros y empresas receptoras de sus aportes que mantengan vigente un contrato de inversión extranjera suscrito antes del 1 de diciembre de 2004.</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Se contemplan normas especiales para el caso que de una empresa participen socios que gocen de la invariabilidad y otros que no.</w:t>
            </w:r>
            <w:r w:rsidRPr="00D41D79">
              <w:rPr>
                <w:rFonts w:ascii="Calibri" w:eastAsia="Calibri" w:hAnsi="Calibri"/>
                <w:sz w:val="18"/>
                <w:vertAlign w:val="superscript"/>
                <w:lang w:val="es-CL" w:eastAsia="en-US"/>
              </w:rPr>
              <w:footnoteReference w:id="26"/>
            </w:r>
          </w:p>
        </w:tc>
        <w:tc>
          <w:tcPr>
            <w:tcW w:w="1034" w:type="dxa"/>
          </w:tcPr>
          <w:p w:rsidR="00D41D79" w:rsidRPr="00D41D79" w:rsidRDefault="00D41D79" w:rsidP="00D41D79">
            <w:pPr>
              <w:spacing w:before="120" w:after="120"/>
              <w:jc w:val="center"/>
              <w:rPr>
                <w:rFonts w:ascii="Calibri" w:eastAsia="Calibri" w:hAnsi="Calibri"/>
                <w:sz w:val="18"/>
                <w:szCs w:val="18"/>
                <w:lang w:val="es-CL" w:eastAsia="en-US"/>
              </w:rPr>
            </w:pPr>
            <w:r w:rsidRPr="00D41D79">
              <w:rPr>
                <w:rFonts w:ascii="Calibri" w:eastAsia="Calibri" w:hAnsi="Calibri"/>
                <w:sz w:val="18"/>
                <w:szCs w:val="18"/>
                <w:lang w:val="es-CL" w:eastAsia="en-US"/>
              </w:rPr>
              <w:t>No aplica</w:t>
            </w:r>
          </w:p>
        </w:tc>
        <w:tc>
          <w:tcPr>
            <w:tcW w:w="2947"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Mientras gocen de los derechos contenidos en los art. 7 y/u 11 bis del D.L. 600/74.</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Vencido el plazo de dichos derechos o una vez renunciados, quedarán sujetos al impto. del 64 bis LIR, vigente a la fecha de extinción de estos derechos.</w:t>
            </w:r>
          </w:p>
        </w:tc>
      </w:tr>
    </w:tbl>
    <w:p w:rsidR="00D41D79" w:rsidRDefault="00D41D79">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3"/>
        <w:gridCol w:w="4122"/>
        <w:gridCol w:w="2779"/>
        <w:gridCol w:w="1016"/>
        <w:gridCol w:w="2896"/>
      </w:tblGrid>
      <w:tr w:rsidR="00D41D79" w:rsidRPr="00D41D79" w:rsidTr="00E66749">
        <w:tc>
          <w:tcPr>
            <w:tcW w:w="2219"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Art. 3 Transitorio Ley N°20.026</w:t>
            </w:r>
          </w:p>
        </w:tc>
        <w:tc>
          <w:tcPr>
            <w:tcW w:w="4208"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 xml:space="preserve">Solicitar la aplicación del beneficio del art. 11 ter del D.L. 600/74 </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Esto es, invariabilidad de las normas legales vigentes a la fecha de suscripción del contrato, en lo relativo al impto. del 64 bis LIR.</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Observación: en este caso se fija una tasa de 4% del impto. del 64 bis LIR para el tramo más alto, mientras se mantenga la invariabilidad.</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Las instrucciones sobre este particular se encuentran contenidas en la Circular N°60, de 2005.</w:t>
            </w:r>
          </w:p>
        </w:tc>
        <w:tc>
          <w:tcPr>
            <w:tcW w:w="2812"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Inversionistas extranjeros que mantengan vigente un contrato de inversión extranjera suscrito antes del 1 de diciembre de 2004 que cumpliendo con los requisitos al efecto, hayan optado dentro de plazo por los beneficios del art. 11 ter del DL 600/74.</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Observación: el plazo para acogerse a este beneficio venció el 30 de noviembre de 2005.</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Si alguno de los inversionistas o las empresas receptoras eran titulares de invariabilidad del art. 7 y/u 11 bis del DL 600/74, debían renunciar a ellos para acogerse a este beneficio.</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De conformidad con el art. 8 transitorio de la Ley 20.026,(incorporado por la Ley 20.097), los inversionistas acogidos al art. 3 transitorio que gocen del derecho de invariabilidad en relación con la depreciación acelerada y aquellos inversionistas que mantengan contratos de inversión en virtud del cual gocen de dicho derecho, podrán acogerse al tratamiento que indica el artículo 8 transitorio, renunciando  a él. En tal caso, podrán descontar de la renta imponible operacional del 64 bis, los intereses pagados o devengados sobre cantidades adeudadas, dentro del año al que se refiere el impuesto. La solicitud al efecto debía presentarse a más tardar el 30 de junio de 2006.</w:t>
            </w:r>
            <w:r w:rsidRPr="00D41D79">
              <w:rPr>
                <w:rFonts w:ascii="Calibri" w:eastAsia="Calibri" w:hAnsi="Calibri"/>
                <w:sz w:val="18"/>
                <w:vertAlign w:val="superscript"/>
                <w:lang w:val="es-CL" w:eastAsia="en-US"/>
              </w:rPr>
              <w:footnoteReference w:id="27"/>
            </w:r>
          </w:p>
        </w:tc>
        <w:tc>
          <w:tcPr>
            <w:tcW w:w="1034" w:type="dxa"/>
          </w:tcPr>
          <w:p w:rsidR="00D41D79" w:rsidRPr="00D41D79" w:rsidRDefault="00D41D79" w:rsidP="00D41D79">
            <w:pPr>
              <w:spacing w:before="120" w:after="120"/>
              <w:jc w:val="center"/>
              <w:rPr>
                <w:rFonts w:ascii="Calibri" w:eastAsia="Calibri" w:hAnsi="Calibri"/>
                <w:sz w:val="18"/>
                <w:szCs w:val="18"/>
                <w:lang w:val="es-CL" w:eastAsia="en-US"/>
              </w:rPr>
            </w:pPr>
            <w:r w:rsidRPr="00D41D79">
              <w:rPr>
                <w:rFonts w:ascii="Calibri" w:eastAsia="Calibri" w:hAnsi="Calibri"/>
                <w:sz w:val="18"/>
                <w:szCs w:val="18"/>
                <w:lang w:val="es-CL" w:eastAsia="en-US"/>
              </w:rPr>
              <w:t>4%</w:t>
            </w:r>
          </w:p>
        </w:tc>
        <w:tc>
          <w:tcPr>
            <w:tcW w:w="2947"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12 años, que se contará por años calendario, a partir de la solicitud de modificación de contrato que otorga la invariabilidad del proyecto o a partir de la puesta en marcha del proyecto, según corresponda.</w:t>
            </w:r>
          </w:p>
        </w:tc>
      </w:tr>
      <w:tr w:rsidR="00D41D79" w:rsidRPr="00D41D79" w:rsidTr="00E66749">
        <w:tc>
          <w:tcPr>
            <w:tcW w:w="2219"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Art. 4 Transitorio Ley N°20.026.</w:t>
            </w:r>
          </w:p>
        </w:tc>
        <w:tc>
          <w:tcPr>
            <w:tcW w:w="4208"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Acogerse a lo dispuesto en los artículos 2 y 3 transitorio con las modificaciones de plazo y tasa que se indican.</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Observación: en este caso se fija una tasa de 5% del para el tramo más alto y plazo de 15 años.</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Las instrucciones sobre este particular se encuentran contenidas en la Circular N°60, de 2005.</w:t>
            </w:r>
          </w:p>
        </w:tc>
        <w:tc>
          <w:tcPr>
            <w:tcW w:w="2812"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 xml:space="preserve">Inversionistas extranjeros que mantengan vigente un contrato de inversión extranjera suscrito a contar del 1 de diciembre de 2004 y hasta la entrada en vigencia de la Ley N°20.026 </w:t>
            </w:r>
          </w:p>
        </w:tc>
        <w:tc>
          <w:tcPr>
            <w:tcW w:w="1034" w:type="dxa"/>
          </w:tcPr>
          <w:p w:rsidR="00D41D79" w:rsidRPr="00D41D79" w:rsidRDefault="00D41D79" w:rsidP="00D41D79">
            <w:pPr>
              <w:spacing w:before="120" w:after="120"/>
              <w:jc w:val="center"/>
              <w:rPr>
                <w:rFonts w:ascii="Calibri" w:eastAsia="Calibri" w:hAnsi="Calibri"/>
                <w:sz w:val="18"/>
                <w:szCs w:val="18"/>
                <w:lang w:val="es-CL" w:eastAsia="en-US"/>
              </w:rPr>
            </w:pPr>
            <w:r w:rsidRPr="00D41D79">
              <w:rPr>
                <w:rFonts w:ascii="Calibri" w:eastAsia="Calibri" w:hAnsi="Calibri"/>
                <w:sz w:val="18"/>
                <w:szCs w:val="18"/>
                <w:lang w:val="es-CL" w:eastAsia="en-US"/>
              </w:rPr>
              <w:t>5%</w:t>
            </w:r>
          </w:p>
        </w:tc>
        <w:tc>
          <w:tcPr>
            <w:tcW w:w="2947"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15 años.</w:t>
            </w:r>
          </w:p>
        </w:tc>
      </w:tr>
      <w:tr w:rsidR="00D41D79" w:rsidRPr="00D41D79" w:rsidTr="00E66749">
        <w:tc>
          <w:tcPr>
            <w:tcW w:w="2219"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Art. 5 Transitorio Ley N°20.026</w:t>
            </w:r>
          </w:p>
        </w:tc>
        <w:tc>
          <w:tcPr>
            <w:tcW w:w="4208"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Solicitar la aplicación del beneficio del art. 11 ter.</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Esto es, invariabilidad de las normas legales vigentes a la fecha de solicitud del beneficio, en lo relativo al impto. del 64 bis LIR.</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Observación: en este caso se fija una tasa de 4% del impto. del 64 bis LIR para el tramo más alto, mientras se mantenga la invariabilidad.</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Las instrucciones sobre este particular se encuentran contenidas en la Circular N°60, de 2005.</w:t>
            </w:r>
          </w:p>
        </w:tc>
        <w:tc>
          <w:tcPr>
            <w:tcW w:w="2812"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Empresas afectas al impto. del 64 bis de la LIR, que no sean empresas receptoras de inversión extranjera acogida al DL 600/74 cuyas ventas durante el ejercicio 2004 hayan sido superiores al valor equivalente a 12 mil toneladas métricas de cobre fino, y que hayan solicitado el beneficio dentro de plazo.</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Observación: el plazo para solicitar el beneficio venció el 30 de noviembre de 2005.</w:t>
            </w:r>
          </w:p>
        </w:tc>
        <w:tc>
          <w:tcPr>
            <w:tcW w:w="1034" w:type="dxa"/>
          </w:tcPr>
          <w:p w:rsidR="00D41D79" w:rsidRPr="00D41D79" w:rsidRDefault="00D41D79" w:rsidP="00D41D79">
            <w:pPr>
              <w:spacing w:before="120" w:after="120"/>
              <w:jc w:val="center"/>
              <w:rPr>
                <w:rFonts w:ascii="Calibri" w:eastAsia="Calibri" w:hAnsi="Calibri"/>
                <w:sz w:val="18"/>
                <w:szCs w:val="18"/>
                <w:lang w:val="es-CL" w:eastAsia="en-US"/>
              </w:rPr>
            </w:pPr>
            <w:r w:rsidRPr="00D41D79">
              <w:rPr>
                <w:rFonts w:ascii="Calibri" w:eastAsia="Calibri" w:hAnsi="Calibri"/>
                <w:sz w:val="18"/>
                <w:szCs w:val="18"/>
                <w:lang w:val="es-CL" w:eastAsia="en-US"/>
              </w:rPr>
              <w:t>4%</w:t>
            </w:r>
          </w:p>
        </w:tc>
        <w:tc>
          <w:tcPr>
            <w:tcW w:w="2947"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12 años, y se contará por años calendario, a partir de la solicitud del contrato que otorga la invariabilidad.</w:t>
            </w:r>
          </w:p>
        </w:tc>
      </w:tr>
    </w:tbl>
    <w:p w:rsidR="00D41D79" w:rsidRPr="00D41D79" w:rsidRDefault="00D41D79" w:rsidP="00D41D79">
      <w:pPr>
        <w:spacing w:after="200" w:line="276" w:lineRule="auto"/>
        <w:rPr>
          <w:rFonts w:ascii="Calibri" w:eastAsia="Calibri" w:hAnsi="Calibri"/>
          <w:sz w:val="22"/>
          <w:szCs w:val="22"/>
          <w:lang w:val="es-CL" w:eastAsia="en-US"/>
        </w:rPr>
      </w:pPr>
      <w:r w:rsidRPr="00D41D79">
        <w:rPr>
          <w:rFonts w:ascii="Calibri" w:eastAsia="Calibri" w:hAnsi="Calibri"/>
          <w:sz w:val="22"/>
          <w:szCs w:val="22"/>
          <w:lang w:val="es-CL" w:eastAsia="en-U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3"/>
        <w:gridCol w:w="4126"/>
        <w:gridCol w:w="2766"/>
        <w:gridCol w:w="1025"/>
        <w:gridCol w:w="2896"/>
      </w:tblGrid>
      <w:tr w:rsidR="00D41D79" w:rsidRPr="00D41D79" w:rsidTr="00E66749">
        <w:tc>
          <w:tcPr>
            <w:tcW w:w="2219"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Art. 1 y 2 Transitorio Ley N°20.469</w:t>
            </w:r>
          </w:p>
        </w:tc>
        <w:tc>
          <w:tcPr>
            <w:tcW w:w="4208"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Optar por la aplicación de las normas del 64 bis y ter de la LIR, bajo modalidad especial:</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Ejercicios 2010, 2011 y 2012: tasas desde 4% a 9%</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A partir del 2013, inclusive y hasta el término de la invariabilidad según contrato (descontados los 3 años antes indicados), se aplicarán las tasas del art. 1 N°1 de la Ley 20.026 y de los artículos 3, 4 y 5 transitorios, según sea el caso, las que se aplicaran sobre la renta imponible operacional determinada según dichas normas.</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Observación: el plazo de invariabilidad, imputado el plazo de 3 años, se ampliará por 6 años calendarios. Durante esta ampliación se aplicará el impuesto del art. 64 bis y ter de la LIR según el texto introducido por la Ley 20.469. Vencido este plazo, pasan al régimen vigente.</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Se pueden explotar, acogidos a la invariabilidad, otros proyectos mineros conexos, distintos de los individualizados en los contratos respectivos. La solicitud de extensión de la invariabilidad deberá presentarse dentro de un plazo de 30 días hábiles desde iniciada la explotación del proyecto conexo.</w:t>
            </w:r>
          </w:p>
        </w:tc>
        <w:tc>
          <w:tcPr>
            <w:tcW w:w="2812"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Inversionistas extranjeros y empresas receptoras de sus aportes con contrato vigente  suscrito al amparo del artículo 11 ter del DL 600/74 anteriores a la entrada en vigencia de la Ley N°20.469., que lo soliciten dentro de plazo.</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Empresas que no siendo receptoras de inversión extranjera hayan suscrito invariabilidad conforme al art. 5 transitorio Ley N°20.026, que lo soliciten dentro de plazo.</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Observación: deben solicitarlo dentro del plazo de 60 días hábiles a contar de la fecha de entrada en vigencia de la Ley.</w:t>
            </w:r>
          </w:p>
        </w:tc>
        <w:tc>
          <w:tcPr>
            <w:tcW w:w="1034" w:type="dxa"/>
          </w:tcPr>
          <w:p w:rsidR="00D41D79" w:rsidRPr="00D41D79" w:rsidRDefault="00D41D79" w:rsidP="00D41D79">
            <w:pPr>
              <w:spacing w:before="120" w:after="120"/>
              <w:jc w:val="center"/>
              <w:rPr>
                <w:rFonts w:ascii="Calibri" w:eastAsia="Calibri" w:hAnsi="Calibri"/>
                <w:sz w:val="18"/>
                <w:szCs w:val="18"/>
                <w:lang w:val="es-CL" w:eastAsia="en-US"/>
              </w:rPr>
            </w:pPr>
            <w:r w:rsidRPr="00D41D79">
              <w:rPr>
                <w:rFonts w:ascii="Calibri" w:eastAsia="Calibri" w:hAnsi="Calibri"/>
                <w:sz w:val="18"/>
                <w:szCs w:val="18"/>
                <w:lang w:val="es-CL" w:eastAsia="en-US"/>
              </w:rPr>
              <w:t>4 a 9%</w:t>
            </w:r>
          </w:p>
          <w:p w:rsidR="00D41D79" w:rsidRPr="00D41D79" w:rsidRDefault="00D41D79" w:rsidP="00D41D79">
            <w:pPr>
              <w:spacing w:before="120" w:after="120"/>
              <w:jc w:val="center"/>
              <w:rPr>
                <w:rFonts w:ascii="Calibri" w:eastAsia="Calibri" w:hAnsi="Calibri"/>
                <w:sz w:val="18"/>
                <w:szCs w:val="18"/>
                <w:lang w:val="es-CL" w:eastAsia="en-US"/>
              </w:rPr>
            </w:pPr>
            <w:r w:rsidRPr="00D41D79">
              <w:rPr>
                <w:rFonts w:ascii="Calibri" w:eastAsia="Calibri" w:hAnsi="Calibri"/>
                <w:sz w:val="18"/>
                <w:szCs w:val="18"/>
                <w:lang w:val="es-CL" w:eastAsia="en-US"/>
              </w:rPr>
              <w:t>4 o 5%, según el caso</w:t>
            </w:r>
          </w:p>
          <w:p w:rsidR="00D41D79" w:rsidRPr="00D41D79" w:rsidRDefault="00D41D79" w:rsidP="00D41D79">
            <w:pPr>
              <w:spacing w:before="120" w:after="120"/>
              <w:jc w:val="center"/>
              <w:rPr>
                <w:rFonts w:ascii="Calibri" w:eastAsia="Calibri" w:hAnsi="Calibri"/>
                <w:sz w:val="18"/>
                <w:szCs w:val="18"/>
                <w:lang w:val="es-CL" w:eastAsia="en-US"/>
              </w:rPr>
            </w:pPr>
            <w:r w:rsidRPr="00D41D79">
              <w:rPr>
                <w:rFonts w:ascii="Calibri" w:eastAsia="Calibri" w:hAnsi="Calibri"/>
                <w:sz w:val="18"/>
                <w:szCs w:val="18"/>
                <w:lang w:val="es-CL" w:eastAsia="en-US"/>
              </w:rPr>
              <w:t>Tasas fijadas por Ley 20.469</w:t>
            </w:r>
          </w:p>
        </w:tc>
        <w:tc>
          <w:tcPr>
            <w:tcW w:w="2947"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Años calendarios 2010, 2011 y 2013</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 Plazo que falte para completar la invariabilidad de contrato vigente (descontados los 3 años anteriores)</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 Ampliación del plazo de 6 años.</w:t>
            </w:r>
          </w:p>
        </w:tc>
      </w:tr>
    </w:tbl>
    <w:p w:rsidR="00D41D79" w:rsidRPr="00D41D79" w:rsidRDefault="00D41D79" w:rsidP="00D41D79">
      <w:pPr>
        <w:spacing w:after="200" w:line="276" w:lineRule="auto"/>
        <w:rPr>
          <w:rFonts w:ascii="Calibri" w:eastAsia="Calibri" w:hAnsi="Calibri"/>
          <w:sz w:val="22"/>
          <w:szCs w:val="22"/>
          <w:lang w:val="es-CL" w:eastAsia="en-US"/>
        </w:rPr>
      </w:pPr>
      <w:r w:rsidRPr="00D41D79">
        <w:rPr>
          <w:rFonts w:ascii="Calibri" w:eastAsia="Calibri" w:hAnsi="Calibri"/>
          <w:sz w:val="22"/>
          <w:szCs w:val="22"/>
          <w:lang w:val="es-CL" w:eastAsia="en-U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3"/>
        <w:gridCol w:w="4126"/>
        <w:gridCol w:w="2766"/>
        <w:gridCol w:w="1025"/>
        <w:gridCol w:w="2896"/>
      </w:tblGrid>
      <w:tr w:rsidR="00D41D79" w:rsidRPr="00D41D79" w:rsidTr="00E66749">
        <w:tc>
          <w:tcPr>
            <w:tcW w:w="2219"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Art. 3 Transitorio Ley N°20.469 Inciso 1</w:t>
            </w:r>
          </w:p>
        </w:tc>
        <w:tc>
          <w:tcPr>
            <w:tcW w:w="4208"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Se aplican las tasas fijadas por la Ley 20.026 y el régimen de invariabilidad fijado por el art. 2 N°2 de dicha Ley, esto es, el régimen de invariabilidad del artículo 11 ter del D.L. 600/74 que se refiere a las normas del artículo 64 bis de la LIR.</w:t>
            </w:r>
          </w:p>
        </w:tc>
        <w:tc>
          <w:tcPr>
            <w:tcW w:w="2812"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Inversionistas con solicitudes pendientes de aprobación, presentadas con anterioridad al 31 de agosto de 2010.</w:t>
            </w:r>
          </w:p>
        </w:tc>
        <w:tc>
          <w:tcPr>
            <w:tcW w:w="1034" w:type="dxa"/>
          </w:tcPr>
          <w:p w:rsidR="00D41D79" w:rsidRPr="00D41D79" w:rsidRDefault="00D41D79" w:rsidP="00D41D79">
            <w:pPr>
              <w:spacing w:before="120" w:after="120"/>
              <w:jc w:val="center"/>
              <w:rPr>
                <w:rFonts w:ascii="Calibri" w:eastAsia="Calibri" w:hAnsi="Calibri"/>
                <w:sz w:val="18"/>
                <w:szCs w:val="18"/>
                <w:lang w:val="es-CL" w:eastAsia="en-US"/>
              </w:rPr>
            </w:pPr>
            <w:r w:rsidRPr="00D41D79">
              <w:rPr>
                <w:rFonts w:ascii="Calibri" w:eastAsia="Calibri" w:hAnsi="Calibri"/>
                <w:sz w:val="18"/>
                <w:szCs w:val="18"/>
                <w:lang w:val="es-CL" w:eastAsia="en-US"/>
              </w:rPr>
              <w:t>5%</w:t>
            </w:r>
          </w:p>
        </w:tc>
        <w:tc>
          <w:tcPr>
            <w:tcW w:w="2947"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15 años, que se contará por años calendarios, desde aquél en que ocurra la puesta en marcha de la empresa</w:t>
            </w:r>
          </w:p>
        </w:tc>
      </w:tr>
      <w:tr w:rsidR="00D41D79" w:rsidRPr="00D41D79" w:rsidTr="00E66749">
        <w:tc>
          <w:tcPr>
            <w:tcW w:w="2219"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Art. 3 Transitorio Ley N°20.469 Inciso 2 a 4</w:t>
            </w:r>
          </w:p>
        </w:tc>
        <w:tc>
          <w:tcPr>
            <w:tcW w:w="4208"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Acogerse a los artículos 1 y 2 transitorios de la Ley 20.469, sustituyendo  el régimen de invariabilidad de los artículos 7 u 11 bis del DL 600/74 por la invariabilidad del artículo 11 ter del mismo texto.</w:t>
            </w:r>
          </w:p>
          <w:p w:rsidR="00D41D79" w:rsidRPr="00D41D79" w:rsidRDefault="00D41D79" w:rsidP="00C10C8E">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 xml:space="preserve">Observación: Se pueden explotar, acogidos a la invariabilidad, otros proyectos mineros conexos, distintos de los individualizados en los contratos respectivos. </w:t>
            </w:r>
          </w:p>
        </w:tc>
        <w:tc>
          <w:tcPr>
            <w:tcW w:w="2812"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Inversionistas extranjeros y empresas receptoras que gocen de los derechos de invariabilidad del art. 7 u 11 bis del DL 600/74.</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Observación: deben solicitarlo dentro del plazo de 60 días hábiles a contar de la fecha de entrada en vigencia de la Ley.</w:t>
            </w:r>
          </w:p>
        </w:tc>
        <w:tc>
          <w:tcPr>
            <w:tcW w:w="1034" w:type="dxa"/>
          </w:tcPr>
          <w:p w:rsidR="00D41D79" w:rsidRPr="00D41D79" w:rsidRDefault="00D41D79" w:rsidP="00D41D79">
            <w:pPr>
              <w:spacing w:before="120" w:after="120"/>
              <w:jc w:val="center"/>
              <w:rPr>
                <w:rFonts w:ascii="Calibri" w:eastAsia="Calibri" w:hAnsi="Calibri"/>
                <w:sz w:val="18"/>
                <w:szCs w:val="18"/>
                <w:lang w:val="es-CL" w:eastAsia="en-US"/>
              </w:rPr>
            </w:pPr>
            <w:r w:rsidRPr="00D41D79">
              <w:rPr>
                <w:rFonts w:ascii="Calibri" w:eastAsia="Calibri" w:hAnsi="Calibri"/>
                <w:sz w:val="18"/>
                <w:szCs w:val="18"/>
                <w:lang w:val="es-CL" w:eastAsia="en-US"/>
              </w:rPr>
              <w:t>4 a 9%</w:t>
            </w:r>
          </w:p>
          <w:p w:rsidR="00D41D79" w:rsidRPr="00D41D79" w:rsidRDefault="00C10C8E" w:rsidP="00D41D79">
            <w:pPr>
              <w:spacing w:before="120" w:after="120"/>
              <w:jc w:val="center"/>
              <w:rPr>
                <w:rFonts w:ascii="Calibri" w:eastAsia="Calibri" w:hAnsi="Calibri"/>
                <w:sz w:val="18"/>
                <w:szCs w:val="18"/>
                <w:lang w:val="es-CL" w:eastAsia="en-US"/>
              </w:rPr>
            </w:pPr>
            <w:r>
              <w:rPr>
                <w:rFonts w:ascii="Calibri" w:eastAsia="Calibri" w:hAnsi="Calibri"/>
                <w:sz w:val="18"/>
                <w:szCs w:val="18"/>
                <w:lang w:val="es-CL" w:eastAsia="en-US"/>
              </w:rPr>
              <w:t>0</w:t>
            </w:r>
            <w:r w:rsidR="00D41D79" w:rsidRPr="00D41D79">
              <w:rPr>
                <w:rFonts w:ascii="Calibri" w:eastAsia="Calibri" w:hAnsi="Calibri"/>
                <w:sz w:val="18"/>
                <w:szCs w:val="18"/>
                <w:lang w:val="es-CL" w:eastAsia="en-US"/>
              </w:rPr>
              <w:t>%</w:t>
            </w:r>
          </w:p>
          <w:p w:rsidR="00D41D79" w:rsidRPr="00D41D79" w:rsidRDefault="00D41D79" w:rsidP="00D41D79">
            <w:pPr>
              <w:spacing w:before="120" w:after="120"/>
              <w:jc w:val="center"/>
              <w:rPr>
                <w:rFonts w:ascii="Calibri" w:eastAsia="Calibri" w:hAnsi="Calibri"/>
                <w:sz w:val="18"/>
                <w:szCs w:val="18"/>
                <w:lang w:val="es-CL" w:eastAsia="en-US"/>
              </w:rPr>
            </w:pPr>
          </w:p>
          <w:p w:rsidR="00D41D79" w:rsidRPr="00D41D79" w:rsidRDefault="00D41D79" w:rsidP="00D41D79">
            <w:pPr>
              <w:spacing w:before="120" w:after="120"/>
              <w:jc w:val="center"/>
              <w:rPr>
                <w:rFonts w:ascii="Calibri" w:eastAsia="Calibri" w:hAnsi="Calibri"/>
                <w:sz w:val="18"/>
                <w:szCs w:val="18"/>
                <w:lang w:val="es-CL" w:eastAsia="en-US"/>
              </w:rPr>
            </w:pPr>
            <w:r w:rsidRPr="00D41D79">
              <w:rPr>
                <w:rFonts w:ascii="Calibri" w:eastAsia="Calibri" w:hAnsi="Calibri"/>
                <w:sz w:val="18"/>
                <w:szCs w:val="18"/>
                <w:lang w:val="es-CL" w:eastAsia="en-US"/>
              </w:rPr>
              <w:t>Tasas fijadas por Ley 20.469</w:t>
            </w:r>
          </w:p>
        </w:tc>
        <w:tc>
          <w:tcPr>
            <w:tcW w:w="2947"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Años calendarios 2010, 2011 y 2013</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 Plazo que falte para completar la invariabilidad de contrato vigente (descontados los 3 años anteriores)</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 Ampliación del plazo de 6 años.</w:t>
            </w:r>
          </w:p>
        </w:tc>
      </w:tr>
    </w:tbl>
    <w:p w:rsidR="00D41D79" w:rsidRPr="00D41D79" w:rsidRDefault="00D41D79" w:rsidP="00D41D79">
      <w:pPr>
        <w:spacing w:after="200" w:line="276" w:lineRule="auto"/>
        <w:rPr>
          <w:rFonts w:ascii="Calibri" w:eastAsia="Calibri" w:hAnsi="Calibri"/>
          <w:sz w:val="22"/>
          <w:szCs w:val="22"/>
          <w:lang w:val="es-CL" w:eastAsia="en-US"/>
        </w:rPr>
      </w:pPr>
      <w:r w:rsidRPr="00D41D79">
        <w:rPr>
          <w:rFonts w:ascii="Calibri" w:eastAsia="Calibri" w:hAnsi="Calibri"/>
          <w:sz w:val="22"/>
          <w:szCs w:val="22"/>
          <w:lang w:val="es-CL" w:eastAsia="en-U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0"/>
        <w:gridCol w:w="4132"/>
        <w:gridCol w:w="2772"/>
        <w:gridCol w:w="1014"/>
        <w:gridCol w:w="2888"/>
      </w:tblGrid>
      <w:tr w:rsidR="00D41D79" w:rsidRPr="00D41D79" w:rsidTr="00E66749">
        <w:tc>
          <w:tcPr>
            <w:tcW w:w="2219"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Art. 4 Transitorio Ley N°20.469</w:t>
            </w:r>
          </w:p>
        </w:tc>
        <w:tc>
          <w:tcPr>
            <w:tcW w:w="4208"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Solicitar se les concedan los derechos del art. 11 ter del DL 600/74, con requisitos y en la forma que se indica.</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Años 2010, 2011 y 2012, el impuesto se aplicará según arts. 64 bis y ter.</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A partir del 2013, inclusive, y hasta el 31 de diciembre de 2017, el impuesto se aplicará con tasa 5% sobre renta operacional determinada según 64 bis y ter según texto fijado por la Ley 20.469.</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A partir del 2018, inclusive, y hasta el 31 de diciembre de 2025, el impuesto se aplicará de conformidad con los artículos 64 bis y ter según texto fijado por la Ley 20.469.</w:t>
            </w:r>
          </w:p>
        </w:tc>
        <w:tc>
          <w:tcPr>
            <w:tcW w:w="2812"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Empresas que no siendo receptoras de inversión extranjera hubieren iniciado la explotación de un proyecto minero con anterioridad a la entrada en vigencia de la ley y que no hayan suscrito un contrato con invariabilidad para dicho proyecto.</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Observación: deben solicitarlo dentro del plazo de 60 días hábiles desde la entrada en vigencia de la ley</w:t>
            </w:r>
            <w:r w:rsidRPr="00D41D79">
              <w:rPr>
                <w:rFonts w:ascii="Calibri" w:eastAsia="Calibri" w:hAnsi="Calibri"/>
                <w:sz w:val="18"/>
                <w:vertAlign w:val="superscript"/>
                <w:lang w:val="es-CL" w:eastAsia="en-US"/>
              </w:rPr>
              <w:footnoteReference w:id="28"/>
            </w:r>
            <w:r w:rsidRPr="00D41D79">
              <w:rPr>
                <w:rFonts w:ascii="Calibri" w:eastAsia="Calibri" w:hAnsi="Calibri"/>
                <w:sz w:val="18"/>
                <w:szCs w:val="18"/>
                <w:lang w:val="es-CL" w:eastAsia="en-US"/>
              </w:rPr>
              <w:t>.</w:t>
            </w:r>
          </w:p>
        </w:tc>
        <w:tc>
          <w:tcPr>
            <w:tcW w:w="1034" w:type="dxa"/>
          </w:tcPr>
          <w:p w:rsidR="00D41D79" w:rsidRPr="00D41D79" w:rsidRDefault="00D41D79" w:rsidP="00D41D79">
            <w:pPr>
              <w:spacing w:before="120" w:after="120"/>
              <w:jc w:val="center"/>
              <w:rPr>
                <w:rFonts w:ascii="Calibri" w:eastAsia="Calibri" w:hAnsi="Calibri"/>
                <w:sz w:val="18"/>
                <w:szCs w:val="18"/>
                <w:lang w:val="es-CL" w:eastAsia="en-US"/>
              </w:rPr>
            </w:pPr>
          </w:p>
        </w:tc>
        <w:tc>
          <w:tcPr>
            <w:tcW w:w="2947" w:type="dxa"/>
          </w:tcPr>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2010 a 2012</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2013 a 2017</w:t>
            </w:r>
          </w:p>
          <w:p w:rsidR="00D41D79" w:rsidRPr="00D41D79" w:rsidRDefault="00D41D79" w:rsidP="00D41D79">
            <w:pPr>
              <w:spacing w:before="120" w:after="120"/>
              <w:rPr>
                <w:rFonts w:ascii="Calibri" w:eastAsia="Calibri" w:hAnsi="Calibri"/>
                <w:sz w:val="18"/>
                <w:szCs w:val="18"/>
                <w:lang w:val="es-CL" w:eastAsia="en-US"/>
              </w:rPr>
            </w:pPr>
            <w:r w:rsidRPr="00D41D79">
              <w:rPr>
                <w:rFonts w:ascii="Calibri" w:eastAsia="Calibri" w:hAnsi="Calibri"/>
                <w:sz w:val="18"/>
                <w:szCs w:val="18"/>
                <w:lang w:val="es-CL" w:eastAsia="en-US"/>
              </w:rPr>
              <w:t>2018 a 2025</w:t>
            </w:r>
          </w:p>
        </w:tc>
      </w:tr>
    </w:tbl>
    <w:p w:rsidR="00D41D79" w:rsidRPr="00D41D79" w:rsidRDefault="00D41D79" w:rsidP="00D41D79">
      <w:pPr>
        <w:spacing w:after="200" w:line="276" w:lineRule="auto"/>
        <w:rPr>
          <w:rFonts w:ascii="Calibri" w:eastAsia="Calibri" w:hAnsi="Calibri"/>
          <w:sz w:val="22"/>
          <w:szCs w:val="22"/>
          <w:lang w:val="es-CL" w:eastAsia="en-US"/>
        </w:rPr>
      </w:pPr>
    </w:p>
    <w:p w:rsidR="00D41D79" w:rsidRPr="001A6A24" w:rsidRDefault="00D41D79" w:rsidP="00811D72">
      <w:pPr>
        <w:autoSpaceDE w:val="0"/>
        <w:autoSpaceDN w:val="0"/>
        <w:adjustRightInd w:val="0"/>
        <w:ind w:right="-162"/>
        <w:jc w:val="both"/>
        <w:rPr>
          <w:rFonts w:ascii="Arial" w:hAnsi="Arial" w:cs="Arial"/>
          <w:b/>
          <w:sz w:val="22"/>
          <w:szCs w:val="22"/>
          <w:u w:val="single"/>
        </w:rPr>
      </w:pPr>
    </w:p>
    <w:sectPr w:rsidR="00D41D79" w:rsidRPr="001A6A24" w:rsidSect="00AF1415">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2B4C" w:rsidRDefault="00CC2B4C" w:rsidP="0082287E">
      <w:r>
        <w:separator/>
      </w:r>
    </w:p>
  </w:endnote>
  <w:endnote w:type="continuationSeparator" w:id="0">
    <w:p w:rsidR="00CC2B4C" w:rsidRDefault="00CC2B4C" w:rsidP="0082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2B4C" w:rsidRDefault="00CC2B4C" w:rsidP="0082287E">
      <w:r>
        <w:separator/>
      </w:r>
    </w:p>
  </w:footnote>
  <w:footnote w:type="continuationSeparator" w:id="0">
    <w:p w:rsidR="00CC2B4C" w:rsidRDefault="00CC2B4C" w:rsidP="0082287E">
      <w:r>
        <w:continuationSeparator/>
      </w:r>
    </w:p>
  </w:footnote>
  <w:footnote w:id="1">
    <w:p w:rsidR="00752BC7" w:rsidRPr="00FE7223" w:rsidRDefault="00752BC7" w:rsidP="000434DA">
      <w:pPr>
        <w:pStyle w:val="Textonotapie"/>
      </w:pPr>
      <w:r>
        <w:rPr>
          <w:rStyle w:val="Refdenotaalpie"/>
        </w:rPr>
        <w:footnoteRef/>
      </w:r>
      <w:r>
        <w:t xml:space="preserve"> </w:t>
      </w:r>
      <w:r w:rsidRPr="00FD4C90">
        <w:rPr>
          <w:rFonts w:ascii="Arial" w:hAnsi="Arial" w:cs="Arial"/>
          <w:sz w:val="18"/>
          <w:szCs w:val="18"/>
        </w:rPr>
        <w:t>Artículo</w:t>
      </w:r>
      <w:r>
        <w:rPr>
          <w:rFonts w:ascii="Arial" w:hAnsi="Arial" w:cs="Arial"/>
          <w:sz w:val="18"/>
          <w:szCs w:val="18"/>
        </w:rPr>
        <w:t>s</w:t>
      </w:r>
      <w:r w:rsidRPr="00FD4C90">
        <w:rPr>
          <w:rFonts w:ascii="Arial" w:hAnsi="Arial" w:cs="Arial"/>
          <w:sz w:val="18"/>
          <w:szCs w:val="18"/>
        </w:rPr>
        <w:t xml:space="preserve"> 64 bis, inc</w:t>
      </w:r>
      <w:r>
        <w:rPr>
          <w:rFonts w:ascii="Arial" w:hAnsi="Arial" w:cs="Arial"/>
          <w:sz w:val="18"/>
          <w:szCs w:val="18"/>
        </w:rPr>
        <w:t>isos</w:t>
      </w:r>
      <w:r w:rsidRPr="00FD4C90">
        <w:rPr>
          <w:rFonts w:ascii="Arial" w:hAnsi="Arial" w:cs="Arial"/>
          <w:sz w:val="18"/>
          <w:szCs w:val="18"/>
        </w:rPr>
        <w:t xml:space="preserve">. </w:t>
      </w:r>
      <w:r>
        <w:rPr>
          <w:rFonts w:ascii="Arial" w:hAnsi="Arial" w:cs="Arial"/>
          <w:sz w:val="18"/>
          <w:szCs w:val="18"/>
        </w:rPr>
        <w:t>1° y 3°; y 64 ter, ambos</w:t>
      </w:r>
      <w:r w:rsidRPr="00FD4C90">
        <w:rPr>
          <w:rFonts w:ascii="Arial" w:hAnsi="Arial" w:cs="Arial"/>
          <w:sz w:val="18"/>
          <w:szCs w:val="18"/>
        </w:rPr>
        <w:t xml:space="preserve"> de la LIR</w:t>
      </w:r>
      <w:r w:rsidRPr="00FD4C90">
        <w:rPr>
          <w:rFonts w:ascii="Arial" w:hAnsi="Arial" w:cs="Arial"/>
          <w:sz w:val="18"/>
          <w:szCs w:val="18"/>
          <w:lang w:val="es-CL"/>
        </w:rPr>
        <w:t>.</w:t>
      </w:r>
    </w:p>
  </w:footnote>
  <w:footnote w:id="2">
    <w:p w:rsidR="00752BC7" w:rsidRPr="00FD4C90" w:rsidRDefault="00752BC7" w:rsidP="00925338">
      <w:pPr>
        <w:pStyle w:val="Textonotapie"/>
        <w:jc w:val="both"/>
        <w:rPr>
          <w:rFonts w:ascii="Arial" w:hAnsi="Arial" w:cs="Arial"/>
          <w:sz w:val="18"/>
          <w:szCs w:val="18"/>
          <w:lang w:val="es-CL"/>
        </w:rPr>
      </w:pPr>
      <w:r w:rsidRPr="00FD4C90">
        <w:rPr>
          <w:rStyle w:val="Refdenotaalpie"/>
          <w:rFonts w:ascii="Arial" w:hAnsi="Arial" w:cs="Arial"/>
          <w:sz w:val="18"/>
          <w:szCs w:val="18"/>
        </w:rPr>
        <w:footnoteRef/>
      </w:r>
      <w:r w:rsidRPr="00FD4C90">
        <w:rPr>
          <w:rFonts w:ascii="Arial" w:hAnsi="Arial" w:cs="Arial"/>
          <w:sz w:val="18"/>
          <w:szCs w:val="18"/>
        </w:rPr>
        <w:t xml:space="preserve"> Artículo 64 bis, inc. 2°, N°1, de la LIR</w:t>
      </w:r>
      <w:r w:rsidRPr="00FD4C90">
        <w:rPr>
          <w:rFonts w:ascii="Arial" w:hAnsi="Arial" w:cs="Arial"/>
          <w:sz w:val="18"/>
          <w:szCs w:val="18"/>
          <w:lang w:val="es-CL"/>
        </w:rPr>
        <w:t>.</w:t>
      </w:r>
    </w:p>
  </w:footnote>
  <w:footnote w:id="3">
    <w:p w:rsidR="00752BC7" w:rsidRPr="00FD4C90" w:rsidRDefault="00752BC7" w:rsidP="000434DA">
      <w:pPr>
        <w:pStyle w:val="Textonotapie"/>
        <w:jc w:val="both"/>
        <w:rPr>
          <w:rFonts w:ascii="Arial" w:hAnsi="Arial" w:cs="Arial"/>
          <w:sz w:val="18"/>
          <w:szCs w:val="18"/>
          <w:lang w:val="es-CL"/>
        </w:rPr>
      </w:pPr>
      <w:r w:rsidRPr="00FD4C90">
        <w:rPr>
          <w:rStyle w:val="Refdenotaalpie"/>
          <w:rFonts w:ascii="Arial" w:hAnsi="Arial" w:cs="Arial"/>
          <w:sz w:val="18"/>
          <w:szCs w:val="18"/>
        </w:rPr>
        <w:footnoteRef/>
      </w:r>
      <w:r w:rsidRPr="00FD4C90">
        <w:rPr>
          <w:rFonts w:ascii="Arial" w:hAnsi="Arial" w:cs="Arial"/>
          <w:sz w:val="18"/>
          <w:szCs w:val="18"/>
        </w:rPr>
        <w:t xml:space="preserve"> Artículo 64 bis, inc. 2°, N°3, de la LIR</w:t>
      </w:r>
      <w:r w:rsidRPr="00FD4C90">
        <w:rPr>
          <w:rFonts w:ascii="Arial" w:hAnsi="Arial" w:cs="Arial"/>
          <w:sz w:val="18"/>
          <w:szCs w:val="18"/>
          <w:lang w:val="es-CL"/>
        </w:rPr>
        <w:t>.</w:t>
      </w:r>
    </w:p>
  </w:footnote>
  <w:footnote w:id="4">
    <w:p w:rsidR="00752BC7" w:rsidRPr="00FD4C90" w:rsidRDefault="00752BC7" w:rsidP="00FD4C90">
      <w:pPr>
        <w:pStyle w:val="Textonotapie"/>
        <w:jc w:val="both"/>
        <w:rPr>
          <w:rFonts w:ascii="Arial" w:hAnsi="Arial" w:cs="Arial"/>
          <w:sz w:val="18"/>
          <w:szCs w:val="18"/>
          <w:lang w:val="es-CL"/>
        </w:rPr>
      </w:pPr>
      <w:r w:rsidRPr="00FD4C90">
        <w:rPr>
          <w:rStyle w:val="Refdenotaalpie"/>
          <w:rFonts w:ascii="Arial" w:hAnsi="Arial" w:cs="Arial"/>
          <w:sz w:val="18"/>
          <w:szCs w:val="18"/>
        </w:rPr>
        <w:footnoteRef/>
      </w:r>
      <w:r w:rsidRPr="00FD4C90">
        <w:rPr>
          <w:rFonts w:ascii="Arial" w:hAnsi="Arial" w:cs="Arial"/>
          <w:sz w:val="18"/>
          <w:szCs w:val="18"/>
        </w:rPr>
        <w:t xml:space="preserve"> Artículo 64 bis, inc. 2°, N°2, de la LIR.</w:t>
      </w:r>
    </w:p>
  </w:footnote>
  <w:footnote w:id="5">
    <w:p w:rsidR="00752BC7" w:rsidRPr="00FD4C90" w:rsidRDefault="00752BC7" w:rsidP="000434DA">
      <w:pPr>
        <w:pStyle w:val="Textonotapie"/>
        <w:jc w:val="both"/>
        <w:rPr>
          <w:rFonts w:ascii="Arial" w:hAnsi="Arial" w:cs="Arial"/>
          <w:sz w:val="18"/>
          <w:szCs w:val="18"/>
        </w:rPr>
      </w:pPr>
      <w:r w:rsidRPr="00FD4C90">
        <w:rPr>
          <w:rStyle w:val="Refdenotaalpie"/>
          <w:rFonts w:ascii="Arial" w:hAnsi="Arial" w:cs="Arial"/>
          <w:sz w:val="18"/>
          <w:szCs w:val="18"/>
        </w:rPr>
        <w:footnoteRef/>
      </w:r>
      <w:r w:rsidRPr="00FD4C90">
        <w:rPr>
          <w:rFonts w:ascii="Arial" w:hAnsi="Arial" w:cs="Arial"/>
          <w:sz w:val="18"/>
          <w:szCs w:val="18"/>
        </w:rPr>
        <w:t xml:space="preserve"> Artículo 64 bis, inc. 2°, N°5, de la LIR.</w:t>
      </w:r>
    </w:p>
  </w:footnote>
  <w:footnote w:id="6">
    <w:p w:rsidR="00752BC7" w:rsidRPr="00FD4C90" w:rsidRDefault="00752BC7" w:rsidP="00353573">
      <w:pPr>
        <w:pStyle w:val="Textonotapie"/>
        <w:jc w:val="both"/>
        <w:rPr>
          <w:rFonts w:ascii="Arial" w:hAnsi="Arial" w:cs="Arial"/>
          <w:sz w:val="18"/>
          <w:szCs w:val="18"/>
        </w:rPr>
      </w:pPr>
      <w:r w:rsidRPr="00FD4C90">
        <w:rPr>
          <w:rStyle w:val="Refdenotaalpie"/>
          <w:rFonts w:ascii="Arial" w:hAnsi="Arial" w:cs="Arial"/>
          <w:sz w:val="18"/>
          <w:szCs w:val="18"/>
        </w:rPr>
        <w:footnoteRef/>
      </w:r>
      <w:r w:rsidRPr="00FD4C90">
        <w:rPr>
          <w:rFonts w:ascii="Arial" w:hAnsi="Arial" w:cs="Arial"/>
          <w:sz w:val="18"/>
          <w:szCs w:val="18"/>
        </w:rPr>
        <w:t xml:space="preserve"> Artículo 64 bis, inc. 2°, N°6, de la LIR.</w:t>
      </w:r>
    </w:p>
  </w:footnote>
  <w:footnote w:id="7">
    <w:p w:rsidR="00752BC7" w:rsidRPr="00FD4C90" w:rsidRDefault="00752BC7" w:rsidP="00FD4C90">
      <w:pPr>
        <w:pStyle w:val="Textonotapie"/>
        <w:jc w:val="both"/>
        <w:rPr>
          <w:rFonts w:ascii="Arial" w:hAnsi="Arial" w:cs="Arial"/>
          <w:sz w:val="18"/>
          <w:szCs w:val="18"/>
        </w:rPr>
      </w:pPr>
      <w:r w:rsidRPr="00FD4C90">
        <w:rPr>
          <w:rStyle w:val="Refdenotaalpie"/>
          <w:rFonts w:ascii="Arial" w:hAnsi="Arial" w:cs="Arial"/>
          <w:sz w:val="18"/>
          <w:szCs w:val="18"/>
        </w:rPr>
        <w:footnoteRef/>
      </w:r>
      <w:r w:rsidRPr="00FD4C90">
        <w:rPr>
          <w:rFonts w:ascii="Arial" w:hAnsi="Arial" w:cs="Arial"/>
          <w:sz w:val="18"/>
          <w:szCs w:val="18"/>
        </w:rPr>
        <w:t xml:space="preserve"> Artículo 64 bis, inc. 2°, N°4, de la LIR.</w:t>
      </w:r>
    </w:p>
  </w:footnote>
  <w:footnote w:id="8">
    <w:p w:rsidR="00752BC7" w:rsidRPr="00FD4C90" w:rsidRDefault="00752BC7" w:rsidP="00FD4C90">
      <w:pPr>
        <w:pStyle w:val="Textonotapie"/>
        <w:jc w:val="both"/>
        <w:rPr>
          <w:rFonts w:ascii="Arial" w:hAnsi="Arial" w:cs="Arial"/>
          <w:sz w:val="18"/>
          <w:szCs w:val="18"/>
        </w:rPr>
      </w:pPr>
      <w:r w:rsidRPr="00FD4C90">
        <w:rPr>
          <w:rStyle w:val="Refdenotaalpie"/>
          <w:rFonts w:ascii="Arial" w:hAnsi="Arial" w:cs="Arial"/>
          <w:sz w:val="18"/>
          <w:szCs w:val="18"/>
        </w:rPr>
        <w:footnoteRef/>
      </w:r>
      <w:r w:rsidRPr="00FD4C90">
        <w:rPr>
          <w:rFonts w:ascii="Arial" w:hAnsi="Arial" w:cs="Arial"/>
          <w:sz w:val="18"/>
          <w:szCs w:val="18"/>
        </w:rPr>
        <w:t xml:space="preserve"> Artículo 64 bis, inc. 3, de la LIR.</w:t>
      </w:r>
    </w:p>
  </w:footnote>
  <w:footnote w:id="9">
    <w:p w:rsidR="00752BC7" w:rsidRPr="00FD4C90" w:rsidRDefault="00752BC7" w:rsidP="00FD4C90">
      <w:pPr>
        <w:pStyle w:val="Textonotapie"/>
        <w:jc w:val="both"/>
        <w:rPr>
          <w:rFonts w:ascii="Arial" w:hAnsi="Arial" w:cs="Arial"/>
          <w:sz w:val="18"/>
          <w:szCs w:val="18"/>
        </w:rPr>
      </w:pPr>
      <w:r w:rsidRPr="00FD4C90">
        <w:rPr>
          <w:rStyle w:val="Refdenotaalpie"/>
          <w:rFonts w:ascii="Arial" w:hAnsi="Arial" w:cs="Arial"/>
          <w:sz w:val="18"/>
          <w:szCs w:val="18"/>
        </w:rPr>
        <w:footnoteRef/>
      </w:r>
      <w:r w:rsidRPr="00FD4C90">
        <w:rPr>
          <w:rFonts w:ascii="Arial" w:hAnsi="Arial" w:cs="Arial"/>
          <w:sz w:val="18"/>
          <w:szCs w:val="18"/>
        </w:rPr>
        <w:t xml:space="preserve"> Cabe hacer presente que en el Anexo N°5 de la presente Circular, se incluye una fórmula más una tabla de apoyo para determinar el MOM, la RIOM, la tasa del IEM y la RLI, lo que se desarrolla </w:t>
      </w:r>
      <w:r>
        <w:rPr>
          <w:rFonts w:ascii="Arial" w:hAnsi="Arial" w:cs="Arial"/>
          <w:sz w:val="18"/>
          <w:szCs w:val="18"/>
        </w:rPr>
        <w:t>en el ejemplo N°2, del Anexo N°7</w:t>
      </w:r>
      <w:r w:rsidRPr="00FD4C90">
        <w:rPr>
          <w:rFonts w:ascii="Arial" w:hAnsi="Arial" w:cs="Arial"/>
          <w:sz w:val="18"/>
          <w:szCs w:val="18"/>
        </w:rPr>
        <w:t>. En dicha fórmula, por tratarse de un dato desconocido, se parte de la RIOM que no incluye en principio la rebaja del IEM, determinando un MOM antes de la rebaja de dicho impuesto. Al clasificar este MOM provisorio en la Tabla N°1 del citado Anexo, se obtiene de la Tabla N°4 la tasa efectiva de RIOM.</w:t>
      </w:r>
    </w:p>
  </w:footnote>
  <w:footnote w:id="10">
    <w:p w:rsidR="00752BC7" w:rsidRPr="00FD4C90" w:rsidRDefault="00752BC7" w:rsidP="00FD4C90">
      <w:pPr>
        <w:pStyle w:val="Textonotapie"/>
        <w:jc w:val="both"/>
        <w:rPr>
          <w:rFonts w:ascii="Arial" w:hAnsi="Arial" w:cs="Arial"/>
          <w:sz w:val="18"/>
          <w:szCs w:val="18"/>
          <w:lang w:val="es-CL"/>
        </w:rPr>
      </w:pPr>
      <w:r w:rsidRPr="00FD4C90">
        <w:rPr>
          <w:rStyle w:val="Refdenotaalpie"/>
          <w:rFonts w:ascii="Arial" w:hAnsi="Arial" w:cs="Arial"/>
          <w:sz w:val="18"/>
          <w:szCs w:val="18"/>
        </w:rPr>
        <w:footnoteRef/>
      </w:r>
      <w:r>
        <w:rPr>
          <w:rFonts w:ascii="Arial" w:hAnsi="Arial" w:cs="Arial"/>
          <w:sz w:val="18"/>
          <w:szCs w:val="18"/>
        </w:rPr>
        <w:t xml:space="preserve"> Esto </w:t>
      </w:r>
      <w:r>
        <w:rPr>
          <w:rFonts w:ascii="Arial" w:hAnsi="Arial" w:cs="Arial"/>
          <w:sz w:val="18"/>
          <w:szCs w:val="18"/>
          <w:lang w:val="es-CL" w:eastAsia="es-CL"/>
        </w:rPr>
        <w:t xml:space="preserve">es, al 21 de octubre de </w:t>
      </w:r>
      <w:r w:rsidRPr="00FD4C90">
        <w:rPr>
          <w:rFonts w:ascii="Arial" w:hAnsi="Arial" w:cs="Arial"/>
          <w:sz w:val="18"/>
          <w:szCs w:val="18"/>
          <w:lang w:val="es-CL" w:eastAsia="es-CL"/>
        </w:rPr>
        <w:t>2010,</w:t>
      </w:r>
      <w:r w:rsidRPr="00FD4C90">
        <w:rPr>
          <w:rFonts w:ascii="Arial" w:hAnsi="Arial" w:cs="Arial"/>
          <w:sz w:val="18"/>
          <w:szCs w:val="18"/>
        </w:rPr>
        <w:t xml:space="preserve"> fecha de publicación de la Ley en el Diario Oficial.</w:t>
      </w:r>
    </w:p>
  </w:footnote>
  <w:footnote w:id="11">
    <w:p w:rsidR="00752BC7" w:rsidRPr="00902712" w:rsidRDefault="00752BC7" w:rsidP="00902712">
      <w:pPr>
        <w:pStyle w:val="Textonotapie"/>
        <w:jc w:val="both"/>
        <w:rPr>
          <w:rFonts w:ascii="Arial" w:hAnsi="Arial" w:cs="Arial"/>
          <w:sz w:val="18"/>
          <w:szCs w:val="18"/>
        </w:rPr>
      </w:pPr>
      <w:r w:rsidRPr="00FD4C90">
        <w:rPr>
          <w:rStyle w:val="Refdenotaalpie"/>
          <w:rFonts w:ascii="Arial" w:hAnsi="Arial" w:cs="Arial"/>
          <w:sz w:val="18"/>
          <w:szCs w:val="18"/>
        </w:rPr>
        <w:footnoteRef/>
      </w:r>
      <w:r w:rsidRPr="00FD4C90">
        <w:rPr>
          <w:rFonts w:ascii="Arial" w:hAnsi="Arial" w:cs="Arial"/>
          <w:sz w:val="18"/>
          <w:szCs w:val="18"/>
        </w:rPr>
        <w:t xml:space="preserve"> Por ejemplo, si a 2013 (inclusive) de la invariabilidad del contrato original restaban 5 años, es decir, vencía originalmente en 2017, se deben descontar  los 3 años que señala la Ley (2010, 2011 y 2012), de modo que el </w:t>
      </w:r>
      <w:r w:rsidRPr="00902712">
        <w:rPr>
          <w:rFonts w:ascii="Arial" w:hAnsi="Arial" w:cs="Arial"/>
          <w:sz w:val="18"/>
          <w:szCs w:val="18"/>
        </w:rPr>
        <w:t>remanente de invariabilidad del citado contrato será de 2 años (2013 y 2014). En consecuencia, durante los años 2013 y 2014, se aplicará el régimen tributario que corresponda a su contrato original, según se explica a continuación en la presente Circular.</w:t>
      </w:r>
    </w:p>
  </w:footnote>
  <w:footnote w:id="12">
    <w:p w:rsidR="00752BC7" w:rsidRPr="00902712" w:rsidRDefault="00752BC7" w:rsidP="00902712">
      <w:pPr>
        <w:pStyle w:val="Textonotapie"/>
        <w:jc w:val="both"/>
        <w:rPr>
          <w:rFonts w:ascii="Arial" w:hAnsi="Arial" w:cs="Arial"/>
          <w:sz w:val="18"/>
          <w:szCs w:val="18"/>
        </w:rPr>
      </w:pPr>
      <w:r w:rsidRPr="00902712">
        <w:rPr>
          <w:rStyle w:val="Refdenotaalpie"/>
          <w:rFonts w:ascii="Arial" w:hAnsi="Arial" w:cs="Arial"/>
          <w:sz w:val="18"/>
          <w:szCs w:val="18"/>
        </w:rPr>
        <w:footnoteRef/>
      </w:r>
      <w:r w:rsidRPr="00902712">
        <w:rPr>
          <w:rFonts w:ascii="Arial" w:hAnsi="Arial" w:cs="Arial"/>
          <w:sz w:val="18"/>
          <w:szCs w:val="18"/>
        </w:rPr>
        <w:t xml:space="preserve"> </w:t>
      </w:r>
      <w:r w:rsidRPr="00902712">
        <w:rPr>
          <w:rFonts w:ascii="Arial" w:hAnsi="Arial" w:cs="Arial"/>
          <w:sz w:val="18"/>
          <w:szCs w:val="18"/>
          <w:lang w:val="es-CL" w:eastAsia="es-CL"/>
        </w:rPr>
        <w:t xml:space="preserve">En el </w:t>
      </w:r>
      <w:r w:rsidRPr="00902712">
        <w:rPr>
          <w:rFonts w:ascii="Arial" w:hAnsi="Arial" w:cs="Arial"/>
          <w:b/>
          <w:sz w:val="18"/>
          <w:szCs w:val="18"/>
          <w:lang w:val="es-CL" w:eastAsia="es-CL"/>
        </w:rPr>
        <w:t>Anexo N°9</w:t>
      </w:r>
      <w:r w:rsidRPr="00902712">
        <w:rPr>
          <w:rFonts w:ascii="Arial" w:hAnsi="Arial" w:cs="Arial"/>
          <w:sz w:val="18"/>
          <w:szCs w:val="18"/>
          <w:lang w:val="es-CL" w:eastAsia="es-CL"/>
        </w:rPr>
        <w:t xml:space="preserve"> de la presente Circular, se incluye un cuadro explicativo de los distintos regímenes de invariabilidad establecidos por el DL 600, de 1974, en relación con las leyes 20.026, 20.097 y 20.469.  </w:t>
      </w:r>
    </w:p>
  </w:footnote>
  <w:footnote w:id="13">
    <w:p w:rsidR="00752BC7" w:rsidRPr="00FD4C90" w:rsidRDefault="00752BC7" w:rsidP="00902712">
      <w:pPr>
        <w:pStyle w:val="Textonotapie"/>
        <w:jc w:val="both"/>
        <w:rPr>
          <w:rFonts w:ascii="Arial" w:hAnsi="Arial" w:cs="Arial"/>
          <w:sz w:val="18"/>
          <w:szCs w:val="18"/>
          <w:lang w:val="es-CL"/>
        </w:rPr>
      </w:pPr>
      <w:r w:rsidRPr="00902712">
        <w:rPr>
          <w:rStyle w:val="Refdenotaalpie"/>
          <w:rFonts w:ascii="Arial" w:hAnsi="Arial" w:cs="Arial"/>
          <w:sz w:val="18"/>
          <w:szCs w:val="18"/>
        </w:rPr>
        <w:footnoteRef/>
      </w:r>
      <w:r w:rsidRPr="00902712">
        <w:rPr>
          <w:rFonts w:ascii="Arial" w:hAnsi="Arial" w:cs="Arial"/>
          <w:sz w:val="18"/>
          <w:szCs w:val="18"/>
        </w:rPr>
        <w:t xml:space="preserve"> Las instrucciones</w:t>
      </w:r>
      <w:r w:rsidRPr="00FD4C90">
        <w:rPr>
          <w:rFonts w:ascii="Arial" w:hAnsi="Arial" w:cs="Arial"/>
          <w:sz w:val="18"/>
          <w:szCs w:val="18"/>
        </w:rPr>
        <w:t xml:space="preserve"> sobre la aplicación de estas tasas se contienen en la Circular 55, de 2005. (se debe tener en cuenta además, la Circular 34 de 2006, relativa a las modificaciones introducidas por la Ley 20.097).</w:t>
      </w:r>
    </w:p>
  </w:footnote>
  <w:footnote w:id="14">
    <w:p w:rsidR="00752BC7" w:rsidRPr="00FD4C90" w:rsidRDefault="00752BC7" w:rsidP="00FD4C90">
      <w:pPr>
        <w:pStyle w:val="Textonotapie"/>
        <w:jc w:val="both"/>
        <w:rPr>
          <w:rFonts w:ascii="Arial" w:hAnsi="Arial" w:cs="Arial"/>
          <w:sz w:val="18"/>
          <w:szCs w:val="18"/>
          <w:lang w:val="es-CL"/>
        </w:rPr>
      </w:pPr>
      <w:r w:rsidRPr="00FD4C90">
        <w:rPr>
          <w:rStyle w:val="Refdenotaalpie"/>
          <w:rFonts w:ascii="Arial" w:hAnsi="Arial" w:cs="Arial"/>
          <w:sz w:val="18"/>
          <w:szCs w:val="18"/>
        </w:rPr>
        <w:footnoteRef/>
      </w:r>
      <w:r w:rsidRPr="00FD4C90">
        <w:rPr>
          <w:rFonts w:ascii="Arial" w:hAnsi="Arial" w:cs="Arial"/>
          <w:sz w:val="18"/>
          <w:szCs w:val="18"/>
        </w:rPr>
        <w:t xml:space="preserve"> Las instrucciones sobre la aplicación de estas tasas se contiene en la Circular 55, de 2005.</w:t>
      </w:r>
    </w:p>
  </w:footnote>
  <w:footnote w:id="15">
    <w:p w:rsidR="00752BC7" w:rsidRPr="00FD4C90" w:rsidRDefault="00752BC7" w:rsidP="00FD4C90">
      <w:pPr>
        <w:pStyle w:val="Textonotapie"/>
        <w:jc w:val="both"/>
        <w:rPr>
          <w:rFonts w:ascii="Arial" w:hAnsi="Arial" w:cs="Arial"/>
          <w:sz w:val="18"/>
          <w:szCs w:val="18"/>
          <w:lang w:val="es-CL"/>
        </w:rPr>
      </w:pPr>
      <w:r w:rsidRPr="00FD4C90">
        <w:rPr>
          <w:rStyle w:val="Refdenotaalpie"/>
          <w:rFonts w:ascii="Arial" w:hAnsi="Arial" w:cs="Arial"/>
          <w:sz w:val="18"/>
          <w:szCs w:val="18"/>
        </w:rPr>
        <w:footnoteRef/>
      </w:r>
      <w:r w:rsidRPr="00FD4C90">
        <w:rPr>
          <w:rFonts w:ascii="Arial" w:hAnsi="Arial" w:cs="Arial"/>
          <w:sz w:val="18"/>
          <w:szCs w:val="18"/>
        </w:rPr>
        <w:t xml:space="preserve"> </w:t>
      </w:r>
      <w:r w:rsidRPr="00FD4C90">
        <w:rPr>
          <w:rFonts w:ascii="Arial" w:hAnsi="Arial" w:cs="Arial"/>
          <w:bCs/>
          <w:sz w:val="18"/>
          <w:szCs w:val="18"/>
        </w:rPr>
        <w:t>1° de enero de 2006.</w:t>
      </w:r>
    </w:p>
  </w:footnote>
  <w:footnote w:id="16">
    <w:p w:rsidR="00752BC7" w:rsidRPr="00FD4C90" w:rsidRDefault="00752BC7" w:rsidP="00FD4C90">
      <w:pPr>
        <w:pStyle w:val="Textonotapie"/>
        <w:jc w:val="both"/>
        <w:rPr>
          <w:rFonts w:ascii="Arial" w:hAnsi="Arial" w:cs="Arial"/>
          <w:sz w:val="18"/>
          <w:szCs w:val="18"/>
          <w:lang w:val="es-CL"/>
        </w:rPr>
      </w:pPr>
      <w:r w:rsidRPr="00FD4C90">
        <w:rPr>
          <w:rStyle w:val="Refdenotaalpie"/>
          <w:rFonts w:ascii="Arial" w:hAnsi="Arial" w:cs="Arial"/>
          <w:sz w:val="18"/>
          <w:szCs w:val="18"/>
        </w:rPr>
        <w:footnoteRef/>
      </w:r>
      <w:r w:rsidRPr="00FD4C90">
        <w:rPr>
          <w:rFonts w:ascii="Arial" w:hAnsi="Arial" w:cs="Arial"/>
          <w:sz w:val="18"/>
          <w:szCs w:val="18"/>
        </w:rPr>
        <w:t xml:space="preserve"> Las instrucciones respectivas se contienen en la Circular 55, de 2005.</w:t>
      </w:r>
    </w:p>
    <w:p w:rsidR="00752BC7" w:rsidRPr="00FD4C90" w:rsidRDefault="00752BC7" w:rsidP="00FD4C90">
      <w:pPr>
        <w:pStyle w:val="Textonotapie"/>
        <w:jc w:val="both"/>
        <w:rPr>
          <w:rFonts w:ascii="Arial" w:hAnsi="Arial" w:cs="Arial"/>
          <w:sz w:val="18"/>
          <w:szCs w:val="18"/>
          <w:lang w:val="es-CL"/>
        </w:rPr>
      </w:pPr>
    </w:p>
  </w:footnote>
  <w:footnote w:id="17">
    <w:p w:rsidR="00752BC7" w:rsidRPr="00FD4C90" w:rsidRDefault="00752BC7" w:rsidP="00FD4C90">
      <w:pPr>
        <w:pStyle w:val="Textonotapie"/>
        <w:jc w:val="both"/>
        <w:rPr>
          <w:rFonts w:ascii="Arial" w:hAnsi="Arial" w:cs="Arial"/>
          <w:sz w:val="18"/>
          <w:szCs w:val="18"/>
          <w:lang w:val="es-CL"/>
        </w:rPr>
      </w:pPr>
      <w:r w:rsidRPr="00FD4C90">
        <w:rPr>
          <w:rStyle w:val="Refdenotaalpie"/>
          <w:rFonts w:ascii="Arial" w:hAnsi="Arial" w:cs="Arial"/>
          <w:sz w:val="18"/>
          <w:szCs w:val="18"/>
        </w:rPr>
        <w:footnoteRef/>
      </w:r>
      <w:r w:rsidRPr="00FD4C90">
        <w:rPr>
          <w:rFonts w:ascii="Arial" w:hAnsi="Arial" w:cs="Arial"/>
          <w:sz w:val="18"/>
          <w:szCs w:val="18"/>
        </w:rPr>
        <w:t xml:space="preserve"> </w:t>
      </w:r>
      <w:r w:rsidRPr="00FD4C90">
        <w:rPr>
          <w:rFonts w:ascii="Arial" w:eastAsia="Calibri" w:hAnsi="Arial" w:cs="Arial"/>
          <w:sz w:val="18"/>
          <w:szCs w:val="18"/>
          <w:lang w:val="es-CL" w:eastAsia="es-CL"/>
        </w:rPr>
        <w:t xml:space="preserve"> Las instrucciones relativas a la determinación de estas tasas se contienen en </w:t>
      </w:r>
      <w:smartTag w:uri="urn:schemas-microsoft-com:office:smarttags" w:element="PersonName">
        <w:smartTagPr>
          <w:attr w:name="ProductID" w:val="la Circular"/>
        </w:smartTagPr>
        <w:r w:rsidRPr="00FD4C90">
          <w:rPr>
            <w:rFonts w:ascii="Arial" w:eastAsia="Calibri" w:hAnsi="Arial" w:cs="Arial"/>
            <w:sz w:val="18"/>
            <w:szCs w:val="18"/>
            <w:lang w:val="es-CL" w:eastAsia="es-CL"/>
          </w:rPr>
          <w:t>la Circular</w:t>
        </w:r>
      </w:smartTag>
      <w:r w:rsidRPr="00FD4C90">
        <w:rPr>
          <w:rFonts w:ascii="Arial" w:eastAsia="Calibri" w:hAnsi="Arial" w:cs="Arial"/>
          <w:sz w:val="18"/>
          <w:szCs w:val="18"/>
          <w:lang w:val="es-CL" w:eastAsia="es-CL"/>
        </w:rPr>
        <w:t xml:space="preserve"> 55, de 2005.</w:t>
      </w:r>
    </w:p>
  </w:footnote>
  <w:footnote w:id="18">
    <w:p w:rsidR="00752BC7" w:rsidRPr="00FD4C90" w:rsidRDefault="00752BC7" w:rsidP="00FD4C90">
      <w:pPr>
        <w:pStyle w:val="Textonotapie"/>
        <w:jc w:val="both"/>
        <w:rPr>
          <w:rFonts w:ascii="Arial" w:hAnsi="Arial" w:cs="Arial"/>
          <w:sz w:val="18"/>
          <w:szCs w:val="18"/>
          <w:lang w:val="es-CL"/>
        </w:rPr>
      </w:pPr>
      <w:r w:rsidRPr="00FD4C90">
        <w:rPr>
          <w:rStyle w:val="Refdenotaalpie"/>
          <w:rFonts w:ascii="Arial" w:hAnsi="Arial" w:cs="Arial"/>
          <w:sz w:val="18"/>
          <w:szCs w:val="18"/>
        </w:rPr>
        <w:footnoteRef/>
      </w:r>
      <w:r w:rsidRPr="00FD4C90">
        <w:rPr>
          <w:rFonts w:ascii="Arial" w:hAnsi="Arial" w:cs="Arial"/>
          <w:sz w:val="18"/>
          <w:szCs w:val="18"/>
        </w:rPr>
        <w:t xml:space="preserve"> Las instrucciones respecto a esta disposición legal se contienen en la Circular 60, de 2005.</w:t>
      </w:r>
    </w:p>
  </w:footnote>
  <w:footnote w:id="19">
    <w:p w:rsidR="00752BC7" w:rsidRPr="00FD4C90" w:rsidRDefault="00752BC7" w:rsidP="00FD4C90">
      <w:pPr>
        <w:pStyle w:val="Textonotapie"/>
        <w:jc w:val="both"/>
        <w:rPr>
          <w:rFonts w:ascii="Arial" w:hAnsi="Arial" w:cs="Arial"/>
          <w:sz w:val="18"/>
          <w:szCs w:val="18"/>
        </w:rPr>
      </w:pPr>
      <w:r w:rsidRPr="00FD4C90">
        <w:rPr>
          <w:rStyle w:val="Refdenotaalpie"/>
          <w:rFonts w:ascii="Arial" w:hAnsi="Arial" w:cs="Arial"/>
          <w:sz w:val="18"/>
          <w:szCs w:val="18"/>
        </w:rPr>
        <w:footnoteRef/>
      </w:r>
      <w:r w:rsidRPr="00FD4C90">
        <w:rPr>
          <w:rFonts w:ascii="Arial" w:hAnsi="Arial" w:cs="Arial"/>
          <w:sz w:val="18"/>
          <w:szCs w:val="18"/>
        </w:rPr>
        <w:t xml:space="preserve"> Lo anterior se explica porque el plazo de invariabilidad de 10 años contado desde 2004, vencía originalmente en 2014. En 2013, oportunidad en que de acuerdo a la Ley 20.469 debe determinarse la existencia o no de remanente de invariabilidad del contrato original, es necesario restar al saldo que exista a ese momento (en el ejemplo 2 años, a saber 2013 y 2014)  los 3 años que establece el texto legal (2010, 2011 y 2012). Así, a partir de ese ejercicio, dado que no hay remanente del plazo de invariabilidad original, sólo le restará la prórroga de 6 años que establece la Ley, la que vence por lo tanto en 2018. </w:t>
      </w:r>
    </w:p>
  </w:footnote>
  <w:footnote w:id="20">
    <w:p w:rsidR="00752BC7" w:rsidRPr="00FD4C90" w:rsidRDefault="00752BC7" w:rsidP="00FD4C90">
      <w:pPr>
        <w:pStyle w:val="Textonotapie"/>
        <w:jc w:val="both"/>
        <w:rPr>
          <w:rFonts w:ascii="Arial" w:hAnsi="Arial" w:cs="Arial"/>
          <w:sz w:val="18"/>
          <w:szCs w:val="18"/>
        </w:rPr>
      </w:pPr>
      <w:r w:rsidRPr="00FD4C90">
        <w:rPr>
          <w:rStyle w:val="Refdenotaalpie"/>
          <w:rFonts w:ascii="Arial" w:hAnsi="Arial" w:cs="Arial"/>
          <w:sz w:val="18"/>
          <w:szCs w:val="18"/>
        </w:rPr>
        <w:footnoteRef/>
      </w:r>
      <w:r w:rsidRPr="00FD4C90">
        <w:rPr>
          <w:rFonts w:ascii="Arial" w:hAnsi="Arial" w:cs="Arial"/>
          <w:sz w:val="18"/>
          <w:szCs w:val="18"/>
        </w:rPr>
        <w:t xml:space="preserve"> Es decir, hasta el 20 de octubre de 2010.</w:t>
      </w:r>
    </w:p>
  </w:footnote>
  <w:footnote w:id="21">
    <w:p w:rsidR="00752BC7" w:rsidRPr="00FD4C90" w:rsidRDefault="00752BC7" w:rsidP="00FD4C90">
      <w:pPr>
        <w:pStyle w:val="Textonotapie"/>
        <w:jc w:val="both"/>
        <w:rPr>
          <w:rFonts w:ascii="Arial" w:hAnsi="Arial" w:cs="Arial"/>
          <w:sz w:val="18"/>
          <w:szCs w:val="18"/>
        </w:rPr>
      </w:pPr>
      <w:r w:rsidRPr="00FD4C90">
        <w:rPr>
          <w:rStyle w:val="Refdenotaalpie"/>
          <w:rFonts w:ascii="Arial" w:hAnsi="Arial" w:cs="Arial"/>
          <w:sz w:val="18"/>
          <w:szCs w:val="18"/>
        </w:rPr>
        <w:footnoteRef/>
      </w:r>
      <w:r w:rsidRPr="00FD4C90">
        <w:rPr>
          <w:rFonts w:ascii="Arial" w:hAnsi="Arial" w:cs="Arial"/>
          <w:sz w:val="18"/>
          <w:szCs w:val="18"/>
        </w:rPr>
        <w:t xml:space="preserve"> Considerando que la Ley 20.469 fue publicada en el Diario Oficial de 21 de octubre de 2010, el citado plazo vence el día lunes 17 d enero de 2011.</w:t>
      </w:r>
    </w:p>
  </w:footnote>
  <w:footnote w:id="22">
    <w:p w:rsidR="00752BC7" w:rsidRPr="00FD4C90" w:rsidRDefault="00752BC7" w:rsidP="00FD4C90">
      <w:pPr>
        <w:pStyle w:val="Textonotapie"/>
        <w:jc w:val="both"/>
        <w:rPr>
          <w:rFonts w:ascii="Arial" w:hAnsi="Arial" w:cs="Arial"/>
          <w:sz w:val="18"/>
          <w:szCs w:val="18"/>
        </w:rPr>
      </w:pPr>
    </w:p>
    <w:p w:rsidR="00752BC7" w:rsidRPr="00FD4C90" w:rsidRDefault="00752BC7" w:rsidP="00FD4C90">
      <w:pPr>
        <w:pStyle w:val="Textonotapie"/>
        <w:jc w:val="both"/>
        <w:rPr>
          <w:rFonts w:ascii="Arial" w:hAnsi="Arial" w:cs="Arial"/>
          <w:sz w:val="18"/>
          <w:szCs w:val="18"/>
        </w:rPr>
      </w:pPr>
      <w:r w:rsidRPr="00FD4C90">
        <w:rPr>
          <w:rStyle w:val="Refdenotaalpie"/>
          <w:rFonts w:ascii="Arial" w:hAnsi="Arial" w:cs="Arial"/>
          <w:sz w:val="18"/>
          <w:szCs w:val="18"/>
        </w:rPr>
        <w:footnoteRef/>
      </w:r>
      <w:r w:rsidRPr="00FD4C90">
        <w:rPr>
          <w:rFonts w:ascii="Arial" w:hAnsi="Arial" w:cs="Arial"/>
          <w:sz w:val="18"/>
          <w:szCs w:val="18"/>
        </w:rPr>
        <w:t xml:space="preserve"> Dicha Ley fue publicada en el Diario Oficial de 21 de octubre de 2010.</w:t>
      </w:r>
    </w:p>
  </w:footnote>
  <w:footnote w:id="23">
    <w:p w:rsidR="00752BC7" w:rsidRPr="000F6699" w:rsidRDefault="00752BC7" w:rsidP="00D41D79">
      <w:pPr>
        <w:pStyle w:val="Textonotapie"/>
        <w:spacing w:before="120" w:after="120"/>
        <w:rPr>
          <w:sz w:val="16"/>
          <w:szCs w:val="16"/>
        </w:rPr>
      </w:pPr>
      <w:r>
        <w:rPr>
          <w:rStyle w:val="Refdenotaalpie"/>
        </w:rPr>
        <w:footnoteRef/>
      </w:r>
      <w:r>
        <w:t xml:space="preserve"> </w:t>
      </w:r>
      <w:r>
        <w:rPr>
          <w:sz w:val="16"/>
          <w:szCs w:val="16"/>
        </w:rPr>
        <w:t>De conformidad con el art. 2 Transitorio de la Ley 20.026, los inversionistas extranjeros con contratos con invariabilidad anteriores no quedan sujetos al impuesto del art. 64 bis de la LIR. Las instrucciones sobre el particular se encuentran en la Circular 60, de 2005.</w:t>
      </w:r>
    </w:p>
  </w:footnote>
  <w:footnote w:id="24">
    <w:p w:rsidR="00752BC7" w:rsidRPr="00791371" w:rsidRDefault="00752BC7" w:rsidP="00D41D79">
      <w:pPr>
        <w:pStyle w:val="Textonotapie"/>
        <w:spacing w:before="120" w:after="120"/>
        <w:rPr>
          <w:sz w:val="16"/>
          <w:szCs w:val="16"/>
        </w:rPr>
      </w:pPr>
      <w:r>
        <w:rPr>
          <w:rStyle w:val="Refdenotaalpie"/>
        </w:rPr>
        <w:footnoteRef/>
      </w:r>
      <w:r>
        <w:t xml:space="preserve"> </w:t>
      </w:r>
      <w:r>
        <w:rPr>
          <w:sz w:val="16"/>
          <w:szCs w:val="16"/>
        </w:rPr>
        <w:t>Ídem.</w:t>
      </w:r>
    </w:p>
  </w:footnote>
  <w:footnote w:id="25">
    <w:p w:rsidR="00752BC7" w:rsidRPr="00413A2A" w:rsidRDefault="00752BC7" w:rsidP="00D41D79">
      <w:pPr>
        <w:pStyle w:val="Textonotapie"/>
        <w:spacing w:before="120" w:after="120"/>
        <w:rPr>
          <w:sz w:val="16"/>
          <w:szCs w:val="16"/>
        </w:rPr>
      </w:pPr>
      <w:r>
        <w:rPr>
          <w:rStyle w:val="Refdenotaalpie"/>
        </w:rPr>
        <w:footnoteRef/>
      </w:r>
      <w:r>
        <w:t xml:space="preserve"> </w:t>
      </w:r>
      <w:r>
        <w:rPr>
          <w:sz w:val="16"/>
          <w:szCs w:val="16"/>
        </w:rPr>
        <w:t>La Ley 20.469 modifica el artículo 11 ter haciendo referencia al impuesto del artículo 64 y 64 ter de la LIR.</w:t>
      </w:r>
    </w:p>
  </w:footnote>
  <w:footnote w:id="26">
    <w:p w:rsidR="00752BC7" w:rsidRPr="006837A9" w:rsidRDefault="00752BC7" w:rsidP="00D41D79">
      <w:pPr>
        <w:pStyle w:val="Textonotapie"/>
        <w:rPr>
          <w:sz w:val="16"/>
          <w:szCs w:val="16"/>
        </w:rPr>
      </w:pPr>
      <w:r>
        <w:rPr>
          <w:rStyle w:val="Refdenotaalpie"/>
        </w:rPr>
        <w:footnoteRef/>
      </w:r>
      <w:r>
        <w:t xml:space="preserve"> </w:t>
      </w:r>
      <w:r>
        <w:rPr>
          <w:sz w:val="16"/>
          <w:szCs w:val="16"/>
        </w:rPr>
        <w:t>Dichas normas fueron explicadas a través de la Circular 34, de 2006.</w:t>
      </w:r>
    </w:p>
  </w:footnote>
  <w:footnote w:id="27">
    <w:p w:rsidR="00752BC7" w:rsidRDefault="00752BC7" w:rsidP="00D41D79">
      <w:pPr>
        <w:pStyle w:val="Textonotapie"/>
      </w:pPr>
      <w:r>
        <w:rPr>
          <w:rStyle w:val="Refdenotaalpie"/>
        </w:rPr>
        <w:footnoteRef/>
      </w:r>
      <w:r>
        <w:t xml:space="preserve"> </w:t>
      </w:r>
      <w:r w:rsidRPr="002C6C28">
        <w:rPr>
          <w:sz w:val="16"/>
          <w:szCs w:val="16"/>
        </w:rPr>
        <w:t>Las instrucciones sobre las modificaciones introducidas a la Ley 20.026 por la Ley 20.097 fueron impartidas por este Servicio a través de la Circular 34, de 2006.</w:t>
      </w:r>
    </w:p>
  </w:footnote>
  <w:footnote w:id="28">
    <w:p w:rsidR="00752BC7" w:rsidRDefault="00752BC7" w:rsidP="00D41D79">
      <w:pPr>
        <w:pStyle w:val="Textonotapie"/>
      </w:pPr>
      <w:r>
        <w:rPr>
          <w:rStyle w:val="Refdenotaalpie"/>
        </w:rPr>
        <w:footnoteRef/>
      </w:r>
      <w:r>
        <w:t xml:space="preserve"> </w:t>
      </w:r>
      <w:r w:rsidRPr="00DC6313">
        <w:rPr>
          <w:sz w:val="16"/>
          <w:szCs w:val="16"/>
        </w:rPr>
        <w:t>La ley dice</w:t>
      </w:r>
      <w:r>
        <w:rPr>
          <w:sz w:val="16"/>
          <w:szCs w:val="16"/>
        </w:rPr>
        <w:t xml:space="preserve"> que deben presentar la solicitud dentro del plazo de 60 días corridos a contar de la entrada en vigencia de la ley, pero luego agrega que la solicitud debe ser formulada en los mismos términos y dentro del plazo establecido en los incisos 6° y 7° del artículo 2 transitorio, que es de 60 días hábiles. Se entiende que este último plazo es el que prima.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BC7" w:rsidRDefault="00216968">
    <w:pPr>
      <w:pStyle w:val="Encabezado"/>
      <w:jc w:val="center"/>
    </w:pPr>
    <w:r>
      <w:fldChar w:fldCharType="begin"/>
    </w:r>
    <w:r>
      <w:instrText xml:space="preserve"> PAGE   \* MERGEFORMAT </w:instrText>
    </w:r>
    <w:r>
      <w:fldChar w:fldCharType="separate"/>
    </w:r>
    <w:r w:rsidR="00140A3E">
      <w:rPr>
        <w:noProof/>
      </w:rPr>
      <w:t>1</w:t>
    </w:r>
    <w:r>
      <w:fldChar w:fldCharType="end"/>
    </w:r>
  </w:p>
  <w:p w:rsidR="00752BC7" w:rsidRDefault="00752B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196C"/>
    <w:multiLevelType w:val="multilevel"/>
    <w:tmpl w:val="5B6CD32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85" w:hanging="405"/>
      </w:pPr>
      <w:rPr>
        <w:rFonts w:hint="default"/>
        <w:b/>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56C2C"/>
    <w:multiLevelType w:val="hybridMultilevel"/>
    <w:tmpl w:val="86FA88D8"/>
    <w:lvl w:ilvl="0" w:tplc="35EACEDE">
      <w:start w:val="1"/>
      <w:numFmt w:val="low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46D76E1"/>
    <w:multiLevelType w:val="hybridMultilevel"/>
    <w:tmpl w:val="99FCF476"/>
    <w:lvl w:ilvl="0" w:tplc="04C44EE2">
      <w:start w:val="1"/>
      <w:numFmt w:val="lowerRoman"/>
      <w:lvlText w:val="%1."/>
      <w:lvlJc w:val="right"/>
      <w:pPr>
        <w:ind w:left="1287" w:hanging="360"/>
      </w:pPr>
      <w:rPr>
        <w:rFonts w:ascii="Arial" w:hAnsi="Arial" w:cs="Arial" w:hint="default"/>
        <w:b/>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3" w15:restartNumberingAfterBreak="0">
    <w:nsid w:val="06D24FD8"/>
    <w:multiLevelType w:val="hybridMultilevel"/>
    <w:tmpl w:val="ED8CAF9C"/>
    <w:lvl w:ilvl="0" w:tplc="600E8C8A">
      <w:start w:val="1"/>
      <w:numFmt w:val="lowerRoman"/>
      <w:lvlText w:val="%1."/>
      <w:lvlJc w:val="right"/>
      <w:pPr>
        <w:ind w:left="1287" w:hanging="360"/>
      </w:pPr>
      <w:rPr>
        <w:rFonts w:ascii="Arial" w:hAnsi="Arial" w:cs="Arial" w:hint="default"/>
        <w:b/>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4" w15:restartNumberingAfterBreak="0">
    <w:nsid w:val="082F1850"/>
    <w:multiLevelType w:val="hybridMultilevel"/>
    <w:tmpl w:val="AE4C4D9A"/>
    <w:lvl w:ilvl="0" w:tplc="340A001B">
      <w:start w:val="1"/>
      <w:numFmt w:val="low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08DD40D6"/>
    <w:multiLevelType w:val="multilevel"/>
    <w:tmpl w:val="4AAE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12213E"/>
    <w:multiLevelType w:val="hybridMultilevel"/>
    <w:tmpl w:val="C9F07578"/>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93437EF"/>
    <w:multiLevelType w:val="hybridMultilevel"/>
    <w:tmpl w:val="E726330A"/>
    <w:lvl w:ilvl="0" w:tplc="54E683E2">
      <w:start w:val="1"/>
      <w:numFmt w:val="lowerRoman"/>
      <w:lvlText w:val="%1."/>
      <w:lvlJc w:val="right"/>
      <w:pPr>
        <w:ind w:left="1287" w:hanging="360"/>
      </w:pPr>
      <w:rPr>
        <w:b/>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8" w15:restartNumberingAfterBreak="0">
    <w:nsid w:val="187F03FB"/>
    <w:multiLevelType w:val="hybridMultilevel"/>
    <w:tmpl w:val="A1282D02"/>
    <w:lvl w:ilvl="0" w:tplc="340A001B">
      <w:start w:val="1"/>
      <w:numFmt w:val="lowerRoman"/>
      <w:lvlText w:val="%1."/>
      <w:lvlJc w:val="right"/>
      <w:pPr>
        <w:ind w:left="2007" w:hanging="360"/>
      </w:pPr>
    </w:lvl>
    <w:lvl w:ilvl="1" w:tplc="340A0019" w:tentative="1">
      <w:start w:val="1"/>
      <w:numFmt w:val="lowerLetter"/>
      <w:lvlText w:val="%2."/>
      <w:lvlJc w:val="left"/>
      <w:pPr>
        <w:ind w:left="2727" w:hanging="360"/>
      </w:pPr>
    </w:lvl>
    <w:lvl w:ilvl="2" w:tplc="340A001B" w:tentative="1">
      <w:start w:val="1"/>
      <w:numFmt w:val="lowerRoman"/>
      <w:lvlText w:val="%3."/>
      <w:lvlJc w:val="right"/>
      <w:pPr>
        <w:ind w:left="3447" w:hanging="180"/>
      </w:pPr>
    </w:lvl>
    <w:lvl w:ilvl="3" w:tplc="340A000F" w:tentative="1">
      <w:start w:val="1"/>
      <w:numFmt w:val="decimal"/>
      <w:lvlText w:val="%4."/>
      <w:lvlJc w:val="left"/>
      <w:pPr>
        <w:ind w:left="4167" w:hanging="360"/>
      </w:pPr>
    </w:lvl>
    <w:lvl w:ilvl="4" w:tplc="340A0019" w:tentative="1">
      <w:start w:val="1"/>
      <w:numFmt w:val="lowerLetter"/>
      <w:lvlText w:val="%5."/>
      <w:lvlJc w:val="left"/>
      <w:pPr>
        <w:ind w:left="4887" w:hanging="360"/>
      </w:pPr>
    </w:lvl>
    <w:lvl w:ilvl="5" w:tplc="340A001B" w:tentative="1">
      <w:start w:val="1"/>
      <w:numFmt w:val="lowerRoman"/>
      <w:lvlText w:val="%6."/>
      <w:lvlJc w:val="right"/>
      <w:pPr>
        <w:ind w:left="5607" w:hanging="180"/>
      </w:pPr>
    </w:lvl>
    <w:lvl w:ilvl="6" w:tplc="340A000F" w:tentative="1">
      <w:start w:val="1"/>
      <w:numFmt w:val="decimal"/>
      <w:lvlText w:val="%7."/>
      <w:lvlJc w:val="left"/>
      <w:pPr>
        <w:ind w:left="6327" w:hanging="360"/>
      </w:pPr>
    </w:lvl>
    <w:lvl w:ilvl="7" w:tplc="340A0019" w:tentative="1">
      <w:start w:val="1"/>
      <w:numFmt w:val="lowerLetter"/>
      <w:lvlText w:val="%8."/>
      <w:lvlJc w:val="left"/>
      <w:pPr>
        <w:ind w:left="7047" w:hanging="360"/>
      </w:pPr>
    </w:lvl>
    <w:lvl w:ilvl="8" w:tplc="340A001B" w:tentative="1">
      <w:start w:val="1"/>
      <w:numFmt w:val="lowerRoman"/>
      <w:lvlText w:val="%9."/>
      <w:lvlJc w:val="right"/>
      <w:pPr>
        <w:ind w:left="7767" w:hanging="180"/>
      </w:pPr>
    </w:lvl>
  </w:abstractNum>
  <w:abstractNum w:abstractNumId="9" w15:restartNumberingAfterBreak="0">
    <w:nsid w:val="18ED651E"/>
    <w:multiLevelType w:val="hybridMultilevel"/>
    <w:tmpl w:val="B846ED5C"/>
    <w:lvl w:ilvl="0" w:tplc="7124E6F6">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9DC3A9E"/>
    <w:multiLevelType w:val="hybridMultilevel"/>
    <w:tmpl w:val="C150C300"/>
    <w:lvl w:ilvl="0" w:tplc="772AF1CE">
      <w:start w:val="1"/>
      <w:numFmt w:val="low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D9A5F88"/>
    <w:multiLevelType w:val="multilevel"/>
    <w:tmpl w:val="31781FE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133E18"/>
    <w:multiLevelType w:val="multilevel"/>
    <w:tmpl w:val="998E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8A376E"/>
    <w:multiLevelType w:val="hybridMultilevel"/>
    <w:tmpl w:val="B9EE8470"/>
    <w:lvl w:ilvl="0" w:tplc="ABFC87F6">
      <w:start w:val="1"/>
      <w:numFmt w:val="lowerRoman"/>
      <w:lvlText w:val="%1."/>
      <w:lvlJc w:val="right"/>
      <w:pPr>
        <w:ind w:left="1494" w:hanging="360"/>
      </w:pPr>
      <w:rPr>
        <w:rFonts w:ascii="Arial" w:hAnsi="Arial" w:cs="Arial" w:hint="default"/>
      </w:rPr>
    </w:lvl>
    <w:lvl w:ilvl="1" w:tplc="340A0019" w:tentative="1">
      <w:start w:val="1"/>
      <w:numFmt w:val="lowerLetter"/>
      <w:lvlText w:val="%2."/>
      <w:lvlJc w:val="left"/>
      <w:pPr>
        <w:ind w:left="1156" w:hanging="360"/>
      </w:pPr>
    </w:lvl>
    <w:lvl w:ilvl="2" w:tplc="340A001B" w:tentative="1">
      <w:start w:val="1"/>
      <w:numFmt w:val="lowerRoman"/>
      <w:lvlText w:val="%3."/>
      <w:lvlJc w:val="right"/>
      <w:pPr>
        <w:ind w:left="1876" w:hanging="180"/>
      </w:pPr>
    </w:lvl>
    <w:lvl w:ilvl="3" w:tplc="340A000F" w:tentative="1">
      <w:start w:val="1"/>
      <w:numFmt w:val="decimal"/>
      <w:lvlText w:val="%4."/>
      <w:lvlJc w:val="left"/>
      <w:pPr>
        <w:ind w:left="2596" w:hanging="360"/>
      </w:pPr>
    </w:lvl>
    <w:lvl w:ilvl="4" w:tplc="340A0019" w:tentative="1">
      <w:start w:val="1"/>
      <w:numFmt w:val="lowerLetter"/>
      <w:lvlText w:val="%5."/>
      <w:lvlJc w:val="left"/>
      <w:pPr>
        <w:ind w:left="3316" w:hanging="360"/>
      </w:pPr>
    </w:lvl>
    <w:lvl w:ilvl="5" w:tplc="340A001B" w:tentative="1">
      <w:start w:val="1"/>
      <w:numFmt w:val="lowerRoman"/>
      <w:lvlText w:val="%6."/>
      <w:lvlJc w:val="right"/>
      <w:pPr>
        <w:ind w:left="4036" w:hanging="180"/>
      </w:pPr>
    </w:lvl>
    <w:lvl w:ilvl="6" w:tplc="340A000F" w:tentative="1">
      <w:start w:val="1"/>
      <w:numFmt w:val="decimal"/>
      <w:lvlText w:val="%7."/>
      <w:lvlJc w:val="left"/>
      <w:pPr>
        <w:ind w:left="4756" w:hanging="360"/>
      </w:pPr>
    </w:lvl>
    <w:lvl w:ilvl="7" w:tplc="340A0019" w:tentative="1">
      <w:start w:val="1"/>
      <w:numFmt w:val="lowerLetter"/>
      <w:lvlText w:val="%8."/>
      <w:lvlJc w:val="left"/>
      <w:pPr>
        <w:ind w:left="5476" w:hanging="360"/>
      </w:pPr>
    </w:lvl>
    <w:lvl w:ilvl="8" w:tplc="340A001B" w:tentative="1">
      <w:start w:val="1"/>
      <w:numFmt w:val="lowerRoman"/>
      <w:lvlText w:val="%9."/>
      <w:lvlJc w:val="right"/>
      <w:pPr>
        <w:ind w:left="6196" w:hanging="180"/>
      </w:pPr>
    </w:lvl>
  </w:abstractNum>
  <w:abstractNum w:abstractNumId="14" w15:restartNumberingAfterBreak="0">
    <w:nsid w:val="237900AC"/>
    <w:multiLevelType w:val="hybridMultilevel"/>
    <w:tmpl w:val="F1DE71DE"/>
    <w:lvl w:ilvl="0" w:tplc="340A001B">
      <w:start w:val="1"/>
      <w:numFmt w:val="lowerRoman"/>
      <w:lvlText w:val="%1."/>
      <w:lvlJc w:val="righ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15" w15:restartNumberingAfterBreak="0">
    <w:nsid w:val="23CD222B"/>
    <w:multiLevelType w:val="hybridMultilevel"/>
    <w:tmpl w:val="AD644810"/>
    <w:lvl w:ilvl="0" w:tplc="7124E6F6">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58E689E"/>
    <w:multiLevelType w:val="hybridMultilevel"/>
    <w:tmpl w:val="6BA87A8A"/>
    <w:lvl w:ilvl="0" w:tplc="7124E6F6">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6264AC8"/>
    <w:multiLevelType w:val="hybridMultilevel"/>
    <w:tmpl w:val="FBB623BA"/>
    <w:lvl w:ilvl="0" w:tplc="AB2401DE">
      <w:start w:val="1"/>
      <w:numFmt w:val="lowerLetter"/>
      <w:lvlText w:val="%1)"/>
      <w:lvlJc w:val="left"/>
      <w:pPr>
        <w:ind w:left="1070"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8" w15:restartNumberingAfterBreak="0">
    <w:nsid w:val="2C795DD4"/>
    <w:multiLevelType w:val="hybridMultilevel"/>
    <w:tmpl w:val="8404F4AA"/>
    <w:lvl w:ilvl="0" w:tplc="7124E6F6">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2AE0B66"/>
    <w:multiLevelType w:val="hybridMultilevel"/>
    <w:tmpl w:val="61B262BC"/>
    <w:lvl w:ilvl="0" w:tplc="4B684C5E">
      <w:start w:val="1"/>
      <w:numFmt w:val="lowerRoman"/>
      <w:lvlText w:val="%1."/>
      <w:lvlJc w:val="right"/>
      <w:pPr>
        <w:ind w:left="780" w:hanging="360"/>
      </w:pPr>
      <w:rPr>
        <w:b/>
      </w:r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20" w15:restartNumberingAfterBreak="0">
    <w:nsid w:val="335A52E5"/>
    <w:multiLevelType w:val="hybridMultilevel"/>
    <w:tmpl w:val="E716F8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467078D"/>
    <w:multiLevelType w:val="hybridMultilevel"/>
    <w:tmpl w:val="4C42FB18"/>
    <w:lvl w:ilvl="0" w:tplc="61988156">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79D3305"/>
    <w:multiLevelType w:val="hybridMultilevel"/>
    <w:tmpl w:val="32D2EC6E"/>
    <w:lvl w:ilvl="0" w:tplc="3726F57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A5A5D39"/>
    <w:multiLevelType w:val="hybridMultilevel"/>
    <w:tmpl w:val="83A607E2"/>
    <w:lvl w:ilvl="0" w:tplc="613CB68A">
      <w:start w:val="1"/>
      <w:numFmt w:val="lowerRoman"/>
      <w:lvlText w:val="%1."/>
      <w:lvlJc w:val="right"/>
      <w:pPr>
        <w:ind w:left="1500" w:hanging="360"/>
      </w:pPr>
      <w:rPr>
        <w:rFonts w:ascii="Arial" w:hAnsi="Arial" w:cs="Arial" w:hint="default"/>
      </w:rPr>
    </w:lvl>
    <w:lvl w:ilvl="1" w:tplc="340A0019" w:tentative="1">
      <w:start w:val="1"/>
      <w:numFmt w:val="lowerLetter"/>
      <w:lvlText w:val="%2."/>
      <w:lvlJc w:val="left"/>
      <w:pPr>
        <w:ind w:left="2220" w:hanging="360"/>
      </w:pPr>
    </w:lvl>
    <w:lvl w:ilvl="2" w:tplc="340A001B" w:tentative="1">
      <w:start w:val="1"/>
      <w:numFmt w:val="lowerRoman"/>
      <w:lvlText w:val="%3."/>
      <w:lvlJc w:val="right"/>
      <w:pPr>
        <w:ind w:left="2940" w:hanging="180"/>
      </w:pPr>
    </w:lvl>
    <w:lvl w:ilvl="3" w:tplc="340A000F" w:tentative="1">
      <w:start w:val="1"/>
      <w:numFmt w:val="decimal"/>
      <w:lvlText w:val="%4."/>
      <w:lvlJc w:val="left"/>
      <w:pPr>
        <w:ind w:left="3660" w:hanging="360"/>
      </w:pPr>
    </w:lvl>
    <w:lvl w:ilvl="4" w:tplc="340A0019" w:tentative="1">
      <w:start w:val="1"/>
      <w:numFmt w:val="lowerLetter"/>
      <w:lvlText w:val="%5."/>
      <w:lvlJc w:val="left"/>
      <w:pPr>
        <w:ind w:left="4380" w:hanging="360"/>
      </w:pPr>
    </w:lvl>
    <w:lvl w:ilvl="5" w:tplc="340A001B" w:tentative="1">
      <w:start w:val="1"/>
      <w:numFmt w:val="lowerRoman"/>
      <w:lvlText w:val="%6."/>
      <w:lvlJc w:val="right"/>
      <w:pPr>
        <w:ind w:left="5100" w:hanging="180"/>
      </w:pPr>
    </w:lvl>
    <w:lvl w:ilvl="6" w:tplc="340A000F" w:tentative="1">
      <w:start w:val="1"/>
      <w:numFmt w:val="decimal"/>
      <w:lvlText w:val="%7."/>
      <w:lvlJc w:val="left"/>
      <w:pPr>
        <w:ind w:left="5820" w:hanging="360"/>
      </w:pPr>
    </w:lvl>
    <w:lvl w:ilvl="7" w:tplc="340A0019" w:tentative="1">
      <w:start w:val="1"/>
      <w:numFmt w:val="lowerLetter"/>
      <w:lvlText w:val="%8."/>
      <w:lvlJc w:val="left"/>
      <w:pPr>
        <w:ind w:left="6540" w:hanging="360"/>
      </w:pPr>
    </w:lvl>
    <w:lvl w:ilvl="8" w:tplc="340A001B" w:tentative="1">
      <w:start w:val="1"/>
      <w:numFmt w:val="lowerRoman"/>
      <w:lvlText w:val="%9."/>
      <w:lvlJc w:val="right"/>
      <w:pPr>
        <w:ind w:left="7260" w:hanging="180"/>
      </w:pPr>
    </w:lvl>
  </w:abstractNum>
  <w:abstractNum w:abstractNumId="24" w15:restartNumberingAfterBreak="0">
    <w:nsid w:val="3C5006EC"/>
    <w:multiLevelType w:val="hybridMultilevel"/>
    <w:tmpl w:val="2BB2A2C6"/>
    <w:lvl w:ilvl="0" w:tplc="7124E6F6">
      <w:start w:val="1"/>
      <w:numFmt w:val="lowerLetter"/>
      <w:lvlText w:val="%1."/>
      <w:lvlJc w:val="left"/>
      <w:pPr>
        <w:ind w:left="1425" w:hanging="360"/>
      </w:pPr>
      <w:rPr>
        <w:b/>
      </w:rPr>
    </w:lvl>
    <w:lvl w:ilvl="1" w:tplc="340A0019" w:tentative="1">
      <w:start w:val="1"/>
      <w:numFmt w:val="lowerLetter"/>
      <w:lvlText w:val="%2."/>
      <w:lvlJc w:val="left"/>
      <w:pPr>
        <w:ind w:left="2145" w:hanging="360"/>
      </w:pPr>
    </w:lvl>
    <w:lvl w:ilvl="2" w:tplc="340A001B" w:tentative="1">
      <w:start w:val="1"/>
      <w:numFmt w:val="lowerRoman"/>
      <w:lvlText w:val="%3."/>
      <w:lvlJc w:val="right"/>
      <w:pPr>
        <w:ind w:left="2865" w:hanging="180"/>
      </w:pPr>
    </w:lvl>
    <w:lvl w:ilvl="3" w:tplc="340A000F" w:tentative="1">
      <w:start w:val="1"/>
      <w:numFmt w:val="decimal"/>
      <w:lvlText w:val="%4."/>
      <w:lvlJc w:val="left"/>
      <w:pPr>
        <w:ind w:left="3585" w:hanging="360"/>
      </w:pPr>
    </w:lvl>
    <w:lvl w:ilvl="4" w:tplc="340A0019" w:tentative="1">
      <w:start w:val="1"/>
      <w:numFmt w:val="lowerLetter"/>
      <w:lvlText w:val="%5."/>
      <w:lvlJc w:val="left"/>
      <w:pPr>
        <w:ind w:left="4305" w:hanging="360"/>
      </w:pPr>
    </w:lvl>
    <w:lvl w:ilvl="5" w:tplc="340A001B" w:tentative="1">
      <w:start w:val="1"/>
      <w:numFmt w:val="lowerRoman"/>
      <w:lvlText w:val="%6."/>
      <w:lvlJc w:val="right"/>
      <w:pPr>
        <w:ind w:left="5025" w:hanging="180"/>
      </w:pPr>
    </w:lvl>
    <w:lvl w:ilvl="6" w:tplc="340A000F" w:tentative="1">
      <w:start w:val="1"/>
      <w:numFmt w:val="decimal"/>
      <w:lvlText w:val="%7."/>
      <w:lvlJc w:val="left"/>
      <w:pPr>
        <w:ind w:left="5745" w:hanging="360"/>
      </w:pPr>
    </w:lvl>
    <w:lvl w:ilvl="7" w:tplc="340A0019" w:tentative="1">
      <w:start w:val="1"/>
      <w:numFmt w:val="lowerLetter"/>
      <w:lvlText w:val="%8."/>
      <w:lvlJc w:val="left"/>
      <w:pPr>
        <w:ind w:left="6465" w:hanging="360"/>
      </w:pPr>
    </w:lvl>
    <w:lvl w:ilvl="8" w:tplc="340A001B" w:tentative="1">
      <w:start w:val="1"/>
      <w:numFmt w:val="lowerRoman"/>
      <w:lvlText w:val="%9."/>
      <w:lvlJc w:val="right"/>
      <w:pPr>
        <w:ind w:left="7185" w:hanging="180"/>
      </w:pPr>
    </w:lvl>
  </w:abstractNum>
  <w:abstractNum w:abstractNumId="25" w15:restartNumberingAfterBreak="0">
    <w:nsid w:val="3DC85A80"/>
    <w:multiLevelType w:val="multilevel"/>
    <w:tmpl w:val="37D6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620AFF"/>
    <w:multiLevelType w:val="multilevel"/>
    <w:tmpl w:val="51EA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737F9E"/>
    <w:multiLevelType w:val="hybridMultilevel"/>
    <w:tmpl w:val="90D4BBAE"/>
    <w:lvl w:ilvl="0" w:tplc="81D40D52">
      <w:start w:val="1"/>
      <w:numFmt w:val="lowerRoman"/>
      <w:lvlText w:val="%1."/>
      <w:lvlJc w:val="right"/>
      <w:pPr>
        <w:ind w:left="1425" w:hanging="360"/>
      </w:pPr>
      <w:rPr>
        <w:b/>
      </w:rPr>
    </w:lvl>
    <w:lvl w:ilvl="1" w:tplc="340A0019" w:tentative="1">
      <w:start w:val="1"/>
      <w:numFmt w:val="lowerLetter"/>
      <w:lvlText w:val="%2."/>
      <w:lvlJc w:val="left"/>
      <w:pPr>
        <w:ind w:left="2145" w:hanging="360"/>
      </w:pPr>
    </w:lvl>
    <w:lvl w:ilvl="2" w:tplc="340A001B" w:tentative="1">
      <w:start w:val="1"/>
      <w:numFmt w:val="lowerRoman"/>
      <w:lvlText w:val="%3."/>
      <w:lvlJc w:val="right"/>
      <w:pPr>
        <w:ind w:left="2865" w:hanging="180"/>
      </w:pPr>
    </w:lvl>
    <w:lvl w:ilvl="3" w:tplc="340A000F" w:tentative="1">
      <w:start w:val="1"/>
      <w:numFmt w:val="decimal"/>
      <w:lvlText w:val="%4."/>
      <w:lvlJc w:val="left"/>
      <w:pPr>
        <w:ind w:left="3585" w:hanging="360"/>
      </w:pPr>
    </w:lvl>
    <w:lvl w:ilvl="4" w:tplc="340A0019" w:tentative="1">
      <w:start w:val="1"/>
      <w:numFmt w:val="lowerLetter"/>
      <w:lvlText w:val="%5."/>
      <w:lvlJc w:val="left"/>
      <w:pPr>
        <w:ind w:left="4305" w:hanging="360"/>
      </w:pPr>
    </w:lvl>
    <w:lvl w:ilvl="5" w:tplc="340A001B" w:tentative="1">
      <w:start w:val="1"/>
      <w:numFmt w:val="lowerRoman"/>
      <w:lvlText w:val="%6."/>
      <w:lvlJc w:val="right"/>
      <w:pPr>
        <w:ind w:left="5025" w:hanging="180"/>
      </w:pPr>
    </w:lvl>
    <w:lvl w:ilvl="6" w:tplc="340A000F" w:tentative="1">
      <w:start w:val="1"/>
      <w:numFmt w:val="decimal"/>
      <w:lvlText w:val="%7."/>
      <w:lvlJc w:val="left"/>
      <w:pPr>
        <w:ind w:left="5745" w:hanging="360"/>
      </w:pPr>
    </w:lvl>
    <w:lvl w:ilvl="7" w:tplc="340A0019" w:tentative="1">
      <w:start w:val="1"/>
      <w:numFmt w:val="lowerLetter"/>
      <w:lvlText w:val="%8."/>
      <w:lvlJc w:val="left"/>
      <w:pPr>
        <w:ind w:left="6465" w:hanging="360"/>
      </w:pPr>
    </w:lvl>
    <w:lvl w:ilvl="8" w:tplc="340A001B" w:tentative="1">
      <w:start w:val="1"/>
      <w:numFmt w:val="lowerRoman"/>
      <w:lvlText w:val="%9."/>
      <w:lvlJc w:val="right"/>
      <w:pPr>
        <w:ind w:left="7185" w:hanging="180"/>
      </w:pPr>
    </w:lvl>
  </w:abstractNum>
  <w:abstractNum w:abstractNumId="28" w15:restartNumberingAfterBreak="0">
    <w:nsid w:val="43EE3963"/>
    <w:multiLevelType w:val="hybridMultilevel"/>
    <w:tmpl w:val="05E6AF54"/>
    <w:lvl w:ilvl="0" w:tplc="A7FAA742">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A7D562E"/>
    <w:multiLevelType w:val="hybridMultilevel"/>
    <w:tmpl w:val="BE44AB7C"/>
    <w:lvl w:ilvl="0" w:tplc="7124E6F6">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13944FE"/>
    <w:multiLevelType w:val="multilevel"/>
    <w:tmpl w:val="1CA2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536F99"/>
    <w:multiLevelType w:val="hybridMultilevel"/>
    <w:tmpl w:val="438A7206"/>
    <w:lvl w:ilvl="0" w:tplc="ACBAF8AE">
      <w:start w:val="1"/>
      <w:numFmt w:val="low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42A1952"/>
    <w:multiLevelType w:val="multilevel"/>
    <w:tmpl w:val="219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FA1DD1"/>
    <w:multiLevelType w:val="multilevel"/>
    <w:tmpl w:val="46B4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005632"/>
    <w:multiLevelType w:val="hybridMultilevel"/>
    <w:tmpl w:val="2E64369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32C50C8"/>
    <w:multiLevelType w:val="hybridMultilevel"/>
    <w:tmpl w:val="8C6A37F6"/>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51C25FC"/>
    <w:multiLevelType w:val="hybridMultilevel"/>
    <w:tmpl w:val="6832BD8C"/>
    <w:lvl w:ilvl="0" w:tplc="5CD600B4">
      <w:start w:val="1"/>
      <w:numFmt w:val="lowerLetter"/>
      <w:lvlText w:val="%1."/>
      <w:lvlJc w:val="left"/>
      <w:pPr>
        <w:ind w:left="927" w:hanging="360"/>
      </w:pPr>
      <w:rPr>
        <w:rFonts w:ascii="Arial" w:hAnsi="Arial" w:cs="Arial" w:hint="default"/>
        <w:b/>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37" w15:restartNumberingAfterBreak="0">
    <w:nsid w:val="65803BF5"/>
    <w:multiLevelType w:val="hybridMultilevel"/>
    <w:tmpl w:val="FF68C04A"/>
    <w:lvl w:ilvl="0" w:tplc="7124E6F6">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5A93EA4"/>
    <w:multiLevelType w:val="hybridMultilevel"/>
    <w:tmpl w:val="A7A29C4C"/>
    <w:lvl w:ilvl="0" w:tplc="A27AC230">
      <w:start w:val="1"/>
      <w:numFmt w:val="lowerLetter"/>
      <w:lvlText w:val="%1."/>
      <w:lvlJc w:val="left"/>
      <w:pPr>
        <w:ind w:left="1287" w:hanging="360"/>
      </w:pPr>
      <w:rPr>
        <w:rFonts w:ascii="Arial" w:hAnsi="Arial" w:cs="Arial" w:hint="default"/>
        <w:b/>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39" w15:restartNumberingAfterBreak="0">
    <w:nsid w:val="664C5154"/>
    <w:multiLevelType w:val="hybridMultilevel"/>
    <w:tmpl w:val="92D80AF8"/>
    <w:lvl w:ilvl="0" w:tplc="7124E6F6">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772457C"/>
    <w:multiLevelType w:val="hybridMultilevel"/>
    <w:tmpl w:val="D778C2AC"/>
    <w:lvl w:ilvl="0" w:tplc="A7FAA742">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78F13BD"/>
    <w:multiLevelType w:val="hybridMultilevel"/>
    <w:tmpl w:val="09009E56"/>
    <w:lvl w:ilvl="0" w:tplc="A4F8471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6BB12E2D"/>
    <w:multiLevelType w:val="hybridMultilevel"/>
    <w:tmpl w:val="56623ED2"/>
    <w:lvl w:ilvl="0" w:tplc="7124E6F6">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8F942D4"/>
    <w:multiLevelType w:val="hybridMultilevel"/>
    <w:tmpl w:val="DB0ACA48"/>
    <w:lvl w:ilvl="0" w:tplc="A4E22114">
      <w:start w:val="1"/>
      <w:numFmt w:val="lowerRoman"/>
      <w:lvlText w:val="%1."/>
      <w:lvlJc w:val="right"/>
      <w:pPr>
        <w:ind w:left="720" w:hanging="360"/>
      </w:pPr>
      <w:rPr>
        <w:rFonts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7C150918"/>
    <w:multiLevelType w:val="hybridMultilevel"/>
    <w:tmpl w:val="1E4A701C"/>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7"/>
  </w:num>
  <w:num w:numId="2">
    <w:abstractNumId w:val="26"/>
  </w:num>
  <w:num w:numId="3">
    <w:abstractNumId w:val="25"/>
  </w:num>
  <w:num w:numId="4">
    <w:abstractNumId w:val="30"/>
  </w:num>
  <w:num w:numId="5">
    <w:abstractNumId w:val="5"/>
  </w:num>
  <w:num w:numId="6">
    <w:abstractNumId w:val="12"/>
  </w:num>
  <w:num w:numId="7">
    <w:abstractNumId w:val="32"/>
  </w:num>
  <w:num w:numId="8">
    <w:abstractNumId w:val="0"/>
  </w:num>
  <w:num w:numId="9">
    <w:abstractNumId w:val="33"/>
  </w:num>
  <w:num w:numId="10">
    <w:abstractNumId w:val="20"/>
  </w:num>
  <w:num w:numId="11">
    <w:abstractNumId w:val="11"/>
  </w:num>
  <w:num w:numId="12">
    <w:abstractNumId w:val="4"/>
  </w:num>
  <w:num w:numId="13">
    <w:abstractNumId w:val="28"/>
  </w:num>
  <w:num w:numId="14">
    <w:abstractNumId w:val="21"/>
  </w:num>
  <w:num w:numId="15">
    <w:abstractNumId w:val="34"/>
  </w:num>
  <w:num w:numId="16">
    <w:abstractNumId w:val="38"/>
  </w:num>
  <w:num w:numId="17">
    <w:abstractNumId w:val="8"/>
  </w:num>
  <w:num w:numId="18">
    <w:abstractNumId w:val="22"/>
  </w:num>
  <w:num w:numId="19">
    <w:abstractNumId w:val="36"/>
  </w:num>
  <w:num w:numId="20">
    <w:abstractNumId w:val="13"/>
  </w:num>
  <w:num w:numId="21">
    <w:abstractNumId w:val="2"/>
  </w:num>
  <w:num w:numId="22">
    <w:abstractNumId w:val="23"/>
  </w:num>
  <w:num w:numId="23">
    <w:abstractNumId w:val="3"/>
  </w:num>
  <w:num w:numId="24">
    <w:abstractNumId w:val="27"/>
  </w:num>
  <w:num w:numId="25">
    <w:abstractNumId w:val="24"/>
  </w:num>
  <w:num w:numId="26">
    <w:abstractNumId w:val="35"/>
  </w:num>
  <w:num w:numId="27">
    <w:abstractNumId w:val="10"/>
  </w:num>
  <w:num w:numId="28">
    <w:abstractNumId w:val="44"/>
  </w:num>
  <w:num w:numId="29">
    <w:abstractNumId w:val="14"/>
  </w:num>
  <w:num w:numId="30">
    <w:abstractNumId w:val="7"/>
  </w:num>
  <w:num w:numId="31">
    <w:abstractNumId w:val="6"/>
  </w:num>
  <w:num w:numId="32">
    <w:abstractNumId w:val="9"/>
  </w:num>
  <w:num w:numId="33">
    <w:abstractNumId w:val="29"/>
  </w:num>
  <w:num w:numId="34">
    <w:abstractNumId w:val="18"/>
  </w:num>
  <w:num w:numId="35">
    <w:abstractNumId w:val="39"/>
  </w:num>
  <w:num w:numId="36">
    <w:abstractNumId w:val="15"/>
  </w:num>
  <w:num w:numId="37">
    <w:abstractNumId w:val="42"/>
  </w:num>
  <w:num w:numId="38">
    <w:abstractNumId w:val="16"/>
  </w:num>
  <w:num w:numId="39">
    <w:abstractNumId w:val="19"/>
  </w:num>
  <w:num w:numId="40">
    <w:abstractNumId w:val="37"/>
  </w:num>
  <w:num w:numId="41">
    <w:abstractNumId w:val="31"/>
  </w:num>
  <w:num w:numId="42">
    <w:abstractNumId w:val="1"/>
  </w:num>
  <w:num w:numId="43">
    <w:abstractNumId w:val="41"/>
  </w:num>
  <w:num w:numId="44">
    <w:abstractNumId w:val="43"/>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98"/>
    <w:rsid w:val="0000005E"/>
    <w:rsid w:val="000029D5"/>
    <w:rsid w:val="00004F06"/>
    <w:rsid w:val="000062E8"/>
    <w:rsid w:val="00014E07"/>
    <w:rsid w:val="00023939"/>
    <w:rsid w:val="00026A86"/>
    <w:rsid w:val="00027812"/>
    <w:rsid w:val="000303AB"/>
    <w:rsid w:val="00030543"/>
    <w:rsid w:val="00032AC0"/>
    <w:rsid w:val="000336B8"/>
    <w:rsid w:val="00033806"/>
    <w:rsid w:val="000346A0"/>
    <w:rsid w:val="0003607E"/>
    <w:rsid w:val="000367F8"/>
    <w:rsid w:val="00041553"/>
    <w:rsid w:val="000434DA"/>
    <w:rsid w:val="000462C8"/>
    <w:rsid w:val="00050355"/>
    <w:rsid w:val="000506A8"/>
    <w:rsid w:val="00054C49"/>
    <w:rsid w:val="00056DA0"/>
    <w:rsid w:val="000601E9"/>
    <w:rsid w:val="00061153"/>
    <w:rsid w:val="00062D13"/>
    <w:rsid w:val="00063A87"/>
    <w:rsid w:val="00066E1F"/>
    <w:rsid w:val="000725D1"/>
    <w:rsid w:val="00073A12"/>
    <w:rsid w:val="00074CD7"/>
    <w:rsid w:val="00076A5F"/>
    <w:rsid w:val="000836F5"/>
    <w:rsid w:val="00097F88"/>
    <w:rsid w:val="000A0046"/>
    <w:rsid w:val="000A0464"/>
    <w:rsid w:val="000A06D5"/>
    <w:rsid w:val="000A1B86"/>
    <w:rsid w:val="000A305F"/>
    <w:rsid w:val="000A3213"/>
    <w:rsid w:val="000A35AB"/>
    <w:rsid w:val="000A3E1D"/>
    <w:rsid w:val="000B0D66"/>
    <w:rsid w:val="000B3052"/>
    <w:rsid w:val="000B581C"/>
    <w:rsid w:val="000B7CC2"/>
    <w:rsid w:val="000C2CE8"/>
    <w:rsid w:val="000C4B18"/>
    <w:rsid w:val="000C6C50"/>
    <w:rsid w:val="000C78D8"/>
    <w:rsid w:val="000C7F67"/>
    <w:rsid w:val="000E0C15"/>
    <w:rsid w:val="000E2212"/>
    <w:rsid w:val="000E2690"/>
    <w:rsid w:val="000E3DCC"/>
    <w:rsid w:val="000E706D"/>
    <w:rsid w:val="000F1665"/>
    <w:rsid w:val="000F7491"/>
    <w:rsid w:val="001036A7"/>
    <w:rsid w:val="00104B9E"/>
    <w:rsid w:val="00106140"/>
    <w:rsid w:val="00117120"/>
    <w:rsid w:val="00120D97"/>
    <w:rsid w:val="00121A41"/>
    <w:rsid w:val="0012693D"/>
    <w:rsid w:val="00130C9A"/>
    <w:rsid w:val="00135400"/>
    <w:rsid w:val="0013628E"/>
    <w:rsid w:val="00140A3E"/>
    <w:rsid w:val="00141699"/>
    <w:rsid w:val="00142C4F"/>
    <w:rsid w:val="001440EC"/>
    <w:rsid w:val="00144A8B"/>
    <w:rsid w:val="00146A72"/>
    <w:rsid w:val="00146F7C"/>
    <w:rsid w:val="001533B0"/>
    <w:rsid w:val="00157C5E"/>
    <w:rsid w:val="001611E8"/>
    <w:rsid w:val="00162724"/>
    <w:rsid w:val="00166D45"/>
    <w:rsid w:val="001674A3"/>
    <w:rsid w:val="00174EBC"/>
    <w:rsid w:val="00175B35"/>
    <w:rsid w:val="00176795"/>
    <w:rsid w:val="00176BE0"/>
    <w:rsid w:val="00177563"/>
    <w:rsid w:val="001829F0"/>
    <w:rsid w:val="00184348"/>
    <w:rsid w:val="00184B28"/>
    <w:rsid w:val="001864D0"/>
    <w:rsid w:val="00187BB8"/>
    <w:rsid w:val="00190968"/>
    <w:rsid w:val="00192BC1"/>
    <w:rsid w:val="001938B2"/>
    <w:rsid w:val="001942A0"/>
    <w:rsid w:val="001944F6"/>
    <w:rsid w:val="001A04C9"/>
    <w:rsid w:val="001A0BD5"/>
    <w:rsid w:val="001A28AC"/>
    <w:rsid w:val="001A52FE"/>
    <w:rsid w:val="001A6538"/>
    <w:rsid w:val="001A6A24"/>
    <w:rsid w:val="001A707B"/>
    <w:rsid w:val="001A7141"/>
    <w:rsid w:val="001A7F2F"/>
    <w:rsid w:val="001B2F9E"/>
    <w:rsid w:val="001B5DEA"/>
    <w:rsid w:val="001B75F2"/>
    <w:rsid w:val="001B7BC0"/>
    <w:rsid w:val="001C00BA"/>
    <w:rsid w:val="001C3C7B"/>
    <w:rsid w:val="001D088B"/>
    <w:rsid w:val="001D1233"/>
    <w:rsid w:val="001D4586"/>
    <w:rsid w:val="001D49E8"/>
    <w:rsid w:val="001D60A0"/>
    <w:rsid w:val="001E086C"/>
    <w:rsid w:val="001E15C2"/>
    <w:rsid w:val="001E1C41"/>
    <w:rsid w:val="001E2129"/>
    <w:rsid w:val="001F15E2"/>
    <w:rsid w:val="001F4876"/>
    <w:rsid w:val="001F5985"/>
    <w:rsid w:val="001F7F9C"/>
    <w:rsid w:val="00200193"/>
    <w:rsid w:val="00201340"/>
    <w:rsid w:val="002024EA"/>
    <w:rsid w:val="0020688A"/>
    <w:rsid w:val="00212980"/>
    <w:rsid w:val="002162E9"/>
    <w:rsid w:val="00216968"/>
    <w:rsid w:val="00216A25"/>
    <w:rsid w:val="002203F2"/>
    <w:rsid w:val="0022337C"/>
    <w:rsid w:val="00224D13"/>
    <w:rsid w:val="00225316"/>
    <w:rsid w:val="00227973"/>
    <w:rsid w:val="00230044"/>
    <w:rsid w:val="0023128B"/>
    <w:rsid w:val="00232B1C"/>
    <w:rsid w:val="00232C1B"/>
    <w:rsid w:val="002344B7"/>
    <w:rsid w:val="00241764"/>
    <w:rsid w:val="00242BDE"/>
    <w:rsid w:val="00243D8F"/>
    <w:rsid w:val="00252C1F"/>
    <w:rsid w:val="002549F5"/>
    <w:rsid w:val="00257296"/>
    <w:rsid w:val="0026115D"/>
    <w:rsid w:val="00261BFE"/>
    <w:rsid w:val="00264617"/>
    <w:rsid w:val="00265C63"/>
    <w:rsid w:val="00270078"/>
    <w:rsid w:val="002700C1"/>
    <w:rsid w:val="00273BB0"/>
    <w:rsid w:val="00276650"/>
    <w:rsid w:val="00277AF1"/>
    <w:rsid w:val="00281FC5"/>
    <w:rsid w:val="00283080"/>
    <w:rsid w:val="00285F50"/>
    <w:rsid w:val="0028670E"/>
    <w:rsid w:val="0028695C"/>
    <w:rsid w:val="002916F6"/>
    <w:rsid w:val="002A1713"/>
    <w:rsid w:val="002A66C9"/>
    <w:rsid w:val="002A7434"/>
    <w:rsid w:val="002A792B"/>
    <w:rsid w:val="002B0981"/>
    <w:rsid w:val="002B2AF7"/>
    <w:rsid w:val="002B688D"/>
    <w:rsid w:val="002B7582"/>
    <w:rsid w:val="002C0064"/>
    <w:rsid w:val="002C07C2"/>
    <w:rsid w:val="002C1886"/>
    <w:rsid w:val="002C36BB"/>
    <w:rsid w:val="002C77D9"/>
    <w:rsid w:val="002D288F"/>
    <w:rsid w:val="002D3747"/>
    <w:rsid w:val="002D5879"/>
    <w:rsid w:val="002E01E2"/>
    <w:rsid w:val="002E0A45"/>
    <w:rsid w:val="002E19FF"/>
    <w:rsid w:val="002E3ECB"/>
    <w:rsid w:val="002E4347"/>
    <w:rsid w:val="002E73A0"/>
    <w:rsid w:val="002F15A7"/>
    <w:rsid w:val="002F274E"/>
    <w:rsid w:val="002F5D50"/>
    <w:rsid w:val="00300833"/>
    <w:rsid w:val="003029CE"/>
    <w:rsid w:val="00311691"/>
    <w:rsid w:val="00313451"/>
    <w:rsid w:val="003142C5"/>
    <w:rsid w:val="003148FD"/>
    <w:rsid w:val="00314BCF"/>
    <w:rsid w:val="00315326"/>
    <w:rsid w:val="00315E80"/>
    <w:rsid w:val="00321DF4"/>
    <w:rsid w:val="00322276"/>
    <w:rsid w:val="0032463B"/>
    <w:rsid w:val="003313E2"/>
    <w:rsid w:val="00332418"/>
    <w:rsid w:val="0033249D"/>
    <w:rsid w:val="00337B6C"/>
    <w:rsid w:val="003400A7"/>
    <w:rsid w:val="0034032C"/>
    <w:rsid w:val="00340DA7"/>
    <w:rsid w:val="00341E7B"/>
    <w:rsid w:val="003420BA"/>
    <w:rsid w:val="003420C8"/>
    <w:rsid w:val="00342804"/>
    <w:rsid w:val="00343FF8"/>
    <w:rsid w:val="003465F6"/>
    <w:rsid w:val="0034732B"/>
    <w:rsid w:val="00353573"/>
    <w:rsid w:val="00357B58"/>
    <w:rsid w:val="00363B67"/>
    <w:rsid w:val="00364A97"/>
    <w:rsid w:val="003658AB"/>
    <w:rsid w:val="00365CEE"/>
    <w:rsid w:val="00365E50"/>
    <w:rsid w:val="00366B69"/>
    <w:rsid w:val="00381953"/>
    <w:rsid w:val="00381A54"/>
    <w:rsid w:val="00382887"/>
    <w:rsid w:val="00382E07"/>
    <w:rsid w:val="003857FD"/>
    <w:rsid w:val="00386DA5"/>
    <w:rsid w:val="0038730B"/>
    <w:rsid w:val="00387B56"/>
    <w:rsid w:val="00391EA6"/>
    <w:rsid w:val="00392243"/>
    <w:rsid w:val="003951F8"/>
    <w:rsid w:val="003A02B8"/>
    <w:rsid w:val="003A272C"/>
    <w:rsid w:val="003A31AC"/>
    <w:rsid w:val="003A40CC"/>
    <w:rsid w:val="003A4BA7"/>
    <w:rsid w:val="003A6D0B"/>
    <w:rsid w:val="003B0800"/>
    <w:rsid w:val="003B3FB0"/>
    <w:rsid w:val="003B5BFC"/>
    <w:rsid w:val="003B6FFD"/>
    <w:rsid w:val="003C1DC8"/>
    <w:rsid w:val="003C2514"/>
    <w:rsid w:val="003C280D"/>
    <w:rsid w:val="003C4A56"/>
    <w:rsid w:val="003C5F66"/>
    <w:rsid w:val="003C6ADB"/>
    <w:rsid w:val="003C77F2"/>
    <w:rsid w:val="003D150C"/>
    <w:rsid w:val="003D1715"/>
    <w:rsid w:val="003D4583"/>
    <w:rsid w:val="003D4D1C"/>
    <w:rsid w:val="003D6393"/>
    <w:rsid w:val="003E1F50"/>
    <w:rsid w:val="003E25D4"/>
    <w:rsid w:val="003E2A16"/>
    <w:rsid w:val="003E2BDB"/>
    <w:rsid w:val="003E4526"/>
    <w:rsid w:val="003F10D6"/>
    <w:rsid w:val="003F172F"/>
    <w:rsid w:val="003F2D8E"/>
    <w:rsid w:val="003F3011"/>
    <w:rsid w:val="003F3DCD"/>
    <w:rsid w:val="003F5C01"/>
    <w:rsid w:val="003F63EC"/>
    <w:rsid w:val="00401C26"/>
    <w:rsid w:val="00404599"/>
    <w:rsid w:val="00410AB5"/>
    <w:rsid w:val="004117E6"/>
    <w:rsid w:val="0041285A"/>
    <w:rsid w:val="00412F51"/>
    <w:rsid w:val="0041361A"/>
    <w:rsid w:val="004140F9"/>
    <w:rsid w:val="00417341"/>
    <w:rsid w:val="004201A3"/>
    <w:rsid w:val="00422FEE"/>
    <w:rsid w:val="00425EC0"/>
    <w:rsid w:val="00426577"/>
    <w:rsid w:val="0042744C"/>
    <w:rsid w:val="004348DA"/>
    <w:rsid w:val="004368BB"/>
    <w:rsid w:val="004403DF"/>
    <w:rsid w:val="0044103D"/>
    <w:rsid w:val="00443F79"/>
    <w:rsid w:val="00444187"/>
    <w:rsid w:val="00445A99"/>
    <w:rsid w:val="00456729"/>
    <w:rsid w:val="0046398D"/>
    <w:rsid w:val="00463A42"/>
    <w:rsid w:val="0046403E"/>
    <w:rsid w:val="004641D1"/>
    <w:rsid w:val="00464925"/>
    <w:rsid w:val="00464C06"/>
    <w:rsid w:val="00465345"/>
    <w:rsid w:val="00465516"/>
    <w:rsid w:val="00471CED"/>
    <w:rsid w:val="00475123"/>
    <w:rsid w:val="00475E0E"/>
    <w:rsid w:val="00480E2E"/>
    <w:rsid w:val="00482F69"/>
    <w:rsid w:val="004833B3"/>
    <w:rsid w:val="00483E3B"/>
    <w:rsid w:val="004869AB"/>
    <w:rsid w:val="00486D09"/>
    <w:rsid w:val="00490377"/>
    <w:rsid w:val="0049102C"/>
    <w:rsid w:val="00494020"/>
    <w:rsid w:val="00497538"/>
    <w:rsid w:val="004A2631"/>
    <w:rsid w:val="004B2F1B"/>
    <w:rsid w:val="004B5446"/>
    <w:rsid w:val="004B56C0"/>
    <w:rsid w:val="004B6956"/>
    <w:rsid w:val="004C0510"/>
    <w:rsid w:val="004C35EE"/>
    <w:rsid w:val="004C3735"/>
    <w:rsid w:val="004C4C9C"/>
    <w:rsid w:val="004C65B5"/>
    <w:rsid w:val="004C6C01"/>
    <w:rsid w:val="004D343F"/>
    <w:rsid w:val="004D3AEA"/>
    <w:rsid w:val="004D409D"/>
    <w:rsid w:val="004D486C"/>
    <w:rsid w:val="004E10D9"/>
    <w:rsid w:val="004E7D68"/>
    <w:rsid w:val="004F2903"/>
    <w:rsid w:val="004F3B11"/>
    <w:rsid w:val="0050253B"/>
    <w:rsid w:val="0050361A"/>
    <w:rsid w:val="00506EF8"/>
    <w:rsid w:val="00507258"/>
    <w:rsid w:val="00507576"/>
    <w:rsid w:val="0051012E"/>
    <w:rsid w:val="0051173F"/>
    <w:rsid w:val="00511E2D"/>
    <w:rsid w:val="0051266C"/>
    <w:rsid w:val="0051340E"/>
    <w:rsid w:val="00513A56"/>
    <w:rsid w:val="00513D11"/>
    <w:rsid w:val="0051441C"/>
    <w:rsid w:val="0051482D"/>
    <w:rsid w:val="0051797C"/>
    <w:rsid w:val="00517A04"/>
    <w:rsid w:val="0052008B"/>
    <w:rsid w:val="00520620"/>
    <w:rsid w:val="0052107D"/>
    <w:rsid w:val="00522AB4"/>
    <w:rsid w:val="00527FA9"/>
    <w:rsid w:val="00530263"/>
    <w:rsid w:val="0053265C"/>
    <w:rsid w:val="00533202"/>
    <w:rsid w:val="00533485"/>
    <w:rsid w:val="00533F32"/>
    <w:rsid w:val="005360C6"/>
    <w:rsid w:val="005411D9"/>
    <w:rsid w:val="005453C6"/>
    <w:rsid w:val="0055225C"/>
    <w:rsid w:val="00552A72"/>
    <w:rsid w:val="005538BB"/>
    <w:rsid w:val="00557FF5"/>
    <w:rsid w:val="00564B27"/>
    <w:rsid w:val="00566F23"/>
    <w:rsid w:val="005672D4"/>
    <w:rsid w:val="00570491"/>
    <w:rsid w:val="00570F4F"/>
    <w:rsid w:val="005724DB"/>
    <w:rsid w:val="005736B6"/>
    <w:rsid w:val="00573E0F"/>
    <w:rsid w:val="005753E2"/>
    <w:rsid w:val="00576264"/>
    <w:rsid w:val="00577510"/>
    <w:rsid w:val="00577FBE"/>
    <w:rsid w:val="00580597"/>
    <w:rsid w:val="00582CA5"/>
    <w:rsid w:val="0058327B"/>
    <w:rsid w:val="00586852"/>
    <w:rsid w:val="00590AA7"/>
    <w:rsid w:val="00593EAC"/>
    <w:rsid w:val="00596943"/>
    <w:rsid w:val="00596F98"/>
    <w:rsid w:val="00597240"/>
    <w:rsid w:val="005A10BE"/>
    <w:rsid w:val="005A3A8F"/>
    <w:rsid w:val="005A507E"/>
    <w:rsid w:val="005A65A7"/>
    <w:rsid w:val="005B1A47"/>
    <w:rsid w:val="005C2028"/>
    <w:rsid w:val="005C545D"/>
    <w:rsid w:val="005C6FD8"/>
    <w:rsid w:val="005D01E8"/>
    <w:rsid w:val="005D2FDD"/>
    <w:rsid w:val="005D5306"/>
    <w:rsid w:val="005D6ABB"/>
    <w:rsid w:val="005E0AD1"/>
    <w:rsid w:val="005E15D5"/>
    <w:rsid w:val="005E2E0B"/>
    <w:rsid w:val="005E66FE"/>
    <w:rsid w:val="005E7B9B"/>
    <w:rsid w:val="005F12AE"/>
    <w:rsid w:val="005F3C07"/>
    <w:rsid w:val="005F57B7"/>
    <w:rsid w:val="005F7184"/>
    <w:rsid w:val="005F733F"/>
    <w:rsid w:val="00600F1D"/>
    <w:rsid w:val="00601109"/>
    <w:rsid w:val="00602131"/>
    <w:rsid w:val="00604343"/>
    <w:rsid w:val="006047E4"/>
    <w:rsid w:val="006052E3"/>
    <w:rsid w:val="006055D9"/>
    <w:rsid w:val="00607085"/>
    <w:rsid w:val="006077AE"/>
    <w:rsid w:val="0061009B"/>
    <w:rsid w:val="00610AC2"/>
    <w:rsid w:val="00610B15"/>
    <w:rsid w:val="0061165D"/>
    <w:rsid w:val="00616C1C"/>
    <w:rsid w:val="00621850"/>
    <w:rsid w:val="00622D24"/>
    <w:rsid w:val="00623EB6"/>
    <w:rsid w:val="006271CE"/>
    <w:rsid w:val="00631E14"/>
    <w:rsid w:val="006352EF"/>
    <w:rsid w:val="00640512"/>
    <w:rsid w:val="00642B0C"/>
    <w:rsid w:val="006477D4"/>
    <w:rsid w:val="00647D96"/>
    <w:rsid w:val="00650225"/>
    <w:rsid w:val="00657B23"/>
    <w:rsid w:val="00660CBB"/>
    <w:rsid w:val="00664042"/>
    <w:rsid w:val="006655D0"/>
    <w:rsid w:val="00666AD7"/>
    <w:rsid w:val="00666B9C"/>
    <w:rsid w:val="006700E2"/>
    <w:rsid w:val="0067142E"/>
    <w:rsid w:val="006722EF"/>
    <w:rsid w:val="0067473D"/>
    <w:rsid w:val="00676CBC"/>
    <w:rsid w:val="00677AA5"/>
    <w:rsid w:val="00680BFA"/>
    <w:rsid w:val="00681031"/>
    <w:rsid w:val="00683774"/>
    <w:rsid w:val="00686A19"/>
    <w:rsid w:val="00691DF8"/>
    <w:rsid w:val="00693226"/>
    <w:rsid w:val="00694968"/>
    <w:rsid w:val="00694F15"/>
    <w:rsid w:val="006963A6"/>
    <w:rsid w:val="00697C63"/>
    <w:rsid w:val="006A01DE"/>
    <w:rsid w:val="006A1D4B"/>
    <w:rsid w:val="006A35A3"/>
    <w:rsid w:val="006A369E"/>
    <w:rsid w:val="006A425E"/>
    <w:rsid w:val="006A4A87"/>
    <w:rsid w:val="006B2706"/>
    <w:rsid w:val="006B2E48"/>
    <w:rsid w:val="006B41F8"/>
    <w:rsid w:val="006B4F7D"/>
    <w:rsid w:val="006B520D"/>
    <w:rsid w:val="006C1055"/>
    <w:rsid w:val="006C413D"/>
    <w:rsid w:val="006C440D"/>
    <w:rsid w:val="006C68F7"/>
    <w:rsid w:val="006C7D35"/>
    <w:rsid w:val="006D4563"/>
    <w:rsid w:val="006D45D9"/>
    <w:rsid w:val="006D5E74"/>
    <w:rsid w:val="006E1E00"/>
    <w:rsid w:val="006E61D3"/>
    <w:rsid w:val="006E770B"/>
    <w:rsid w:val="006F1E40"/>
    <w:rsid w:val="006F310A"/>
    <w:rsid w:val="006F731B"/>
    <w:rsid w:val="006F7CC7"/>
    <w:rsid w:val="00700F58"/>
    <w:rsid w:val="00702189"/>
    <w:rsid w:val="00702FCC"/>
    <w:rsid w:val="00703E34"/>
    <w:rsid w:val="00707694"/>
    <w:rsid w:val="007126E2"/>
    <w:rsid w:val="007128E1"/>
    <w:rsid w:val="00716655"/>
    <w:rsid w:val="00717353"/>
    <w:rsid w:val="00721E55"/>
    <w:rsid w:val="00722497"/>
    <w:rsid w:val="00723E09"/>
    <w:rsid w:val="00724B96"/>
    <w:rsid w:val="00742E38"/>
    <w:rsid w:val="007435F1"/>
    <w:rsid w:val="007461C4"/>
    <w:rsid w:val="007466C5"/>
    <w:rsid w:val="007471C6"/>
    <w:rsid w:val="00752BC7"/>
    <w:rsid w:val="00754DE0"/>
    <w:rsid w:val="00755E25"/>
    <w:rsid w:val="007563C6"/>
    <w:rsid w:val="00756EC4"/>
    <w:rsid w:val="00757B87"/>
    <w:rsid w:val="0076074F"/>
    <w:rsid w:val="007613BB"/>
    <w:rsid w:val="00765DE3"/>
    <w:rsid w:val="00771224"/>
    <w:rsid w:val="00772E68"/>
    <w:rsid w:val="00773484"/>
    <w:rsid w:val="00773529"/>
    <w:rsid w:val="00774887"/>
    <w:rsid w:val="0078453D"/>
    <w:rsid w:val="007851CA"/>
    <w:rsid w:val="007914B7"/>
    <w:rsid w:val="007941D4"/>
    <w:rsid w:val="00796056"/>
    <w:rsid w:val="00796846"/>
    <w:rsid w:val="007977ED"/>
    <w:rsid w:val="00797998"/>
    <w:rsid w:val="00797D51"/>
    <w:rsid w:val="007A2444"/>
    <w:rsid w:val="007A3D4B"/>
    <w:rsid w:val="007A4280"/>
    <w:rsid w:val="007A7041"/>
    <w:rsid w:val="007B4B5B"/>
    <w:rsid w:val="007B5764"/>
    <w:rsid w:val="007B6925"/>
    <w:rsid w:val="007C052E"/>
    <w:rsid w:val="007C17C1"/>
    <w:rsid w:val="007C558D"/>
    <w:rsid w:val="007D136A"/>
    <w:rsid w:val="007D38AD"/>
    <w:rsid w:val="007D5366"/>
    <w:rsid w:val="007E2605"/>
    <w:rsid w:val="007F049A"/>
    <w:rsid w:val="007F1C8F"/>
    <w:rsid w:val="007F242B"/>
    <w:rsid w:val="007F2628"/>
    <w:rsid w:val="007F3EA3"/>
    <w:rsid w:val="007F40E4"/>
    <w:rsid w:val="007F4C30"/>
    <w:rsid w:val="007F5AD4"/>
    <w:rsid w:val="0080036C"/>
    <w:rsid w:val="00803382"/>
    <w:rsid w:val="00803937"/>
    <w:rsid w:val="00804683"/>
    <w:rsid w:val="00806040"/>
    <w:rsid w:val="00807CF4"/>
    <w:rsid w:val="0081071C"/>
    <w:rsid w:val="00811D72"/>
    <w:rsid w:val="00812AA8"/>
    <w:rsid w:val="00813085"/>
    <w:rsid w:val="00814672"/>
    <w:rsid w:val="00814EC4"/>
    <w:rsid w:val="00815CB7"/>
    <w:rsid w:val="00820F51"/>
    <w:rsid w:val="0082108D"/>
    <w:rsid w:val="008221AC"/>
    <w:rsid w:val="0082287E"/>
    <w:rsid w:val="008232E5"/>
    <w:rsid w:val="008237D2"/>
    <w:rsid w:val="008275F2"/>
    <w:rsid w:val="00832D9F"/>
    <w:rsid w:val="00835CD4"/>
    <w:rsid w:val="00837985"/>
    <w:rsid w:val="00841630"/>
    <w:rsid w:val="008447FA"/>
    <w:rsid w:val="00844831"/>
    <w:rsid w:val="00847604"/>
    <w:rsid w:val="008500D2"/>
    <w:rsid w:val="00851279"/>
    <w:rsid w:val="00851A28"/>
    <w:rsid w:val="00853C2C"/>
    <w:rsid w:val="00854415"/>
    <w:rsid w:val="00861F24"/>
    <w:rsid w:val="00862EB4"/>
    <w:rsid w:val="00863782"/>
    <w:rsid w:val="00864840"/>
    <w:rsid w:val="008676C8"/>
    <w:rsid w:val="008718AB"/>
    <w:rsid w:val="00881268"/>
    <w:rsid w:val="00882242"/>
    <w:rsid w:val="00882A98"/>
    <w:rsid w:val="0088367F"/>
    <w:rsid w:val="0088446C"/>
    <w:rsid w:val="00884791"/>
    <w:rsid w:val="00884B1F"/>
    <w:rsid w:val="008865EF"/>
    <w:rsid w:val="008902AD"/>
    <w:rsid w:val="008A0723"/>
    <w:rsid w:val="008A114F"/>
    <w:rsid w:val="008A28E2"/>
    <w:rsid w:val="008A2E9D"/>
    <w:rsid w:val="008A5BB2"/>
    <w:rsid w:val="008B241A"/>
    <w:rsid w:val="008B3F10"/>
    <w:rsid w:val="008B5896"/>
    <w:rsid w:val="008B6270"/>
    <w:rsid w:val="008B7AF2"/>
    <w:rsid w:val="008C21D5"/>
    <w:rsid w:val="008C3B36"/>
    <w:rsid w:val="008D13D7"/>
    <w:rsid w:val="008D4A24"/>
    <w:rsid w:val="008D5EB5"/>
    <w:rsid w:val="008D6EE3"/>
    <w:rsid w:val="008D71BF"/>
    <w:rsid w:val="008E09A3"/>
    <w:rsid w:val="008E2EDD"/>
    <w:rsid w:val="008E316C"/>
    <w:rsid w:val="008E4009"/>
    <w:rsid w:val="008E499E"/>
    <w:rsid w:val="008E7A62"/>
    <w:rsid w:val="008F1AD9"/>
    <w:rsid w:val="008F233B"/>
    <w:rsid w:val="008F2590"/>
    <w:rsid w:val="008F52FC"/>
    <w:rsid w:val="008F578D"/>
    <w:rsid w:val="008F690A"/>
    <w:rsid w:val="008F6B60"/>
    <w:rsid w:val="00902188"/>
    <w:rsid w:val="00902451"/>
    <w:rsid w:val="00902537"/>
    <w:rsid w:val="00902712"/>
    <w:rsid w:val="009039C1"/>
    <w:rsid w:val="00903DA4"/>
    <w:rsid w:val="0090533E"/>
    <w:rsid w:val="0090692D"/>
    <w:rsid w:val="009114B9"/>
    <w:rsid w:val="009118FC"/>
    <w:rsid w:val="00917B2D"/>
    <w:rsid w:val="00921838"/>
    <w:rsid w:val="00922216"/>
    <w:rsid w:val="00923A45"/>
    <w:rsid w:val="00925338"/>
    <w:rsid w:val="00930E60"/>
    <w:rsid w:val="009339E0"/>
    <w:rsid w:val="00934E24"/>
    <w:rsid w:val="0093501C"/>
    <w:rsid w:val="009353F1"/>
    <w:rsid w:val="00935E21"/>
    <w:rsid w:val="009408CF"/>
    <w:rsid w:val="00941DCB"/>
    <w:rsid w:val="00943575"/>
    <w:rsid w:val="00945332"/>
    <w:rsid w:val="00945A3B"/>
    <w:rsid w:val="00946724"/>
    <w:rsid w:val="009469A8"/>
    <w:rsid w:val="00950220"/>
    <w:rsid w:val="00950F92"/>
    <w:rsid w:val="00952365"/>
    <w:rsid w:val="00953A2A"/>
    <w:rsid w:val="0095477F"/>
    <w:rsid w:val="00954BA6"/>
    <w:rsid w:val="00955C1F"/>
    <w:rsid w:val="009567D7"/>
    <w:rsid w:val="009569AA"/>
    <w:rsid w:val="00957502"/>
    <w:rsid w:val="009577AE"/>
    <w:rsid w:val="00957DB1"/>
    <w:rsid w:val="00957FC6"/>
    <w:rsid w:val="00961A23"/>
    <w:rsid w:val="00961F45"/>
    <w:rsid w:val="0096259A"/>
    <w:rsid w:val="009637CA"/>
    <w:rsid w:val="009641F4"/>
    <w:rsid w:val="009647CB"/>
    <w:rsid w:val="00970147"/>
    <w:rsid w:val="00973747"/>
    <w:rsid w:val="00981DE9"/>
    <w:rsid w:val="00984ACB"/>
    <w:rsid w:val="0098602E"/>
    <w:rsid w:val="009878C4"/>
    <w:rsid w:val="009906D5"/>
    <w:rsid w:val="00995AD9"/>
    <w:rsid w:val="009961A6"/>
    <w:rsid w:val="009A0554"/>
    <w:rsid w:val="009A4F30"/>
    <w:rsid w:val="009A788D"/>
    <w:rsid w:val="009B4D7E"/>
    <w:rsid w:val="009B4E02"/>
    <w:rsid w:val="009B502E"/>
    <w:rsid w:val="009B749F"/>
    <w:rsid w:val="009C139F"/>
    <w:rsid w:val="009C5AC6"/>
    <w:rsid w:val="009C7871"/>
    <w:rsid w:val="009D1745"/>
    <w:rsid w:val="009D1C37"/>
    <w:rsid w:val="009D2140"/>
    <w:rsid w:val="009D22D5"/>
    <w:rsid w:val="009D2C93"/>
    <w:rsid w:val="009D3AE4"/>
    <w:rsid w:val="009D3FE3"/>
    <w:rsid w:val="009D64EA"/>
    <w:rsid w:val="009D7178"/>
    <w:rsid w:val="009D79EA"/>
    <w:rsid w:val="009E2C3A"/>
    <w:rsid w:val="009E5430"/>
    <w:rsid w:val="009E55AD"/>
    <w:rsid w:val="009E672E"/>
    <w:rsid w:val="009E6756"/>
    <w:rsid w:val="009F0642"/>
    <w:rsid w:val="009F0E81"/>
    <w:rsid w:val="009F1327"/>
    <w:rsid w:val="009F71FA"/>
    <w:rsid w:val="00A04B2D"/>
    <w:rsid w:val="00A0795F"/>
    <w:rsid w:val="00A17DF4"/>
    <w:rsid w:val="00A20B80"/>
    <w:rsid w:val="00A271B8"/>
    <w:rsid w:val="00A27335"/>
    <w:rsid w:val="00A31843"/>
    <w:rsid w:val="00A31E4C"/>
    <w:rsid w:val="00A323B1"/>
    <w:rsid w:val="00A34FA8"/>
    <w:rsid w:val="00A44375"/>
    <w:rsid w:val="00A4487B"/>
    <w:rsid w:val="00A45A5B"/>
    <w:rsid w:val="00A45E26"/>
    <w:rsid w:val="00A47D36"/>
    <w:rsid w:val="00A5081B"/>
    <w:rsid w:val="00A5502B"/>
    <w:rsid w:val="00A60E9F"/>
    <w:rsid w:val="00A624BD"/>
    <w:rsid w:val="00A6286C"/>
    <w:rsid w:val="00A6515C"/>
    <w:rsid w:val="00A70434"/>
    <w:rsid w:val="00A71098"/>
    <w:rsid w:val="00A713D2"/>
    <w:rsid w:val="00A80DEA"/>
    <w:rsid w:val="00A818F5"/>
    <w:rsid w:val="00A82F49"/>
    <w:rsid w:val="00A833E1"/>
    <w:rsid w:val="00A8354C"/>
    <w:rsid w:val="00A85FE7"/>
    <w:rsid w:val="00A9008D"/>
    <w:rsid w:val="00A900AF"/>
    <w:rsid w:val="00A90254"/>
    <w:rsid w:val="00A91197"/>
    <w:rsid w:val="00A93C09"/>
    <w:rsid w:val="00A93C6D"/>
    <w:rsid w:val="00A9464F"/>
    <w:rsid w:val="00AA1EA6"/>
    <w:rsid w:val="00AA40C8"/>
    <w:rsid w:val="00AA527D"/>
    <w:rsid w:val="00AA663B"/>
    <w:rsid w:val="00AA706D"/>
    <w:rsid w:val="00AB1D8F"/>
    <w:rsid w:val="00AB678E"/>
    <w:rsid w:val="00AB6DB0"/>
    <w:rsid w:val="00AC1729"/>
    <w:rsid w:val="00AC1D76"/>
    <w:rsid w:val="00AC1E5A"/>
    <w:rsid w:val="00AC2688"/>
    <w:rsid w:val="00AC284B"/>
    <w:rsid w:val="00AC30DB"/>
    <w:rsid w:val="00AC56B4"/>
    <w:rsid w:val="00AC57FD"/>
    <w:rsid w:val="00AD1C33"/>
    <w:rsid w:val="00AD3837"/>
    <w:rsid w:val="00AD3F78"/>
    <w:rsid w:val="00AD53EF"/>
    <w:rsid w:val="00AD57D1"/>
    <w:rsid w:val="00AD5C72"/>
    <w:rsid w:val="00AD683D"/>
    <w:rsid w:val="00AD75E1"/>
    <w:rsid w:val="00AE1294"/>
    <w:rsid w:val="00AE2AA1"/>
    <w:rsid w:val="00AE3384"/>
    <w:rsid w:val="00AE366B"/>
    <w:rsid w:val="00AE554C"/>
    <w:rsid w:val="00AF0D26"/>
    <w:rsid w:val="00AF1415"/>
    <w:rsid w:val="00AF3B07"/>
    <w:rsid w:val="00AF47E5"/>
    <w:rsid w:val="00AF47F8"/>
    <w:rsid w:val="00AF4F17"/>
    <w:rsid w:val="00AF78FF"/>
    <w:rsid w:val="00B02253"/>
    <w:rsid w:val="00B044F4"/>
    <w:rsid w:val="00B0724F"/>
    <w:rsid w:val="00B10FA5"/>
    <w:rsid w:val="00B12FBC"/>
    <w:rsid w:val="00B20F59"/>
    <w:rsid w:val="00B22C55"/>
    <w:rsid w:val="00B22D26"/>
    <w:rsid w:val="00B23B40"/>
    <w:rsid w:val="00B24116"/>
    <w:rsid w:val="00B26B71"/>
    <w:rsid w:val="00B271EA"/>
    <w:rsid w:val="00B27751"/>
    <w:rsid w:val="00B32561"/>
    <w:rsid w:val="00B3627C"/>
    <w:rsid w:val="00B406C7"/>
    <w:rsid w:val="00B4133B"/>
    <w:rsid w:val="00B436E4"/>
    <w:rsid w:val="00B44755"/>
    <w:rsid w:val="00B469B1"/>
    <w:rsid w:val="00B46B5C"/>
    <w:rsid w:val="00B46C9A"/>
    <w:rsid w:val="00B47488"/>
    <w:rsid w:val="00B47DD6"/>
    <w:rsid w:val="00B50C5F"/>
    <w:rsid w:val="00B52D3F"/>
    <w:rsid w:val="00B55F21"/>
    <w:rsid w:val="00B56A99"/>
    <w:rsid w:val="00B5705D"/>
    <w:rsid w:val="00B61F64"/>
    <w:rsid w:val="00B64A06"/>
    <w:rsid w:val="00B6562D"/>
    <w:rsid w:val="00B66FF2"/>
    <w:rsid w:val="00B67A4B"/>
    <w:rsid w:val="00B700C1"/>
    <w:rsid w:val="00B72FDF"/>
    <w:rsid w:val="00B7536D"/>
    <w:rsid w:val="00B753DF"/>
    <w:rsid w:val="00B75C85"/>
    <w:rsid w:val="00B83A58"/>
    <w:rsid w:val="00B846FD"/>
    <w:rsid w:val="00B84F29"/>
    <w:rsid w:val="00B85925"/>
    <w:rsid w:val="00B87FF0"/>
    <w:rsid w:val="00B90972"/>
    <w:rsid w:val="00B9216F"/>
    <w:rsid w:val="00B94428"/>
    <w:rsid w:val="00BA166F"/>
    <w:rsid w:val="00BA2C95"/>
    <w:rsid w:val="00BA5FCD"/>
    <w:rsid w:val="00BA6D9A"/>
    <w:rsid w:val="00BA7D35"/>
    <w:rsid w:val="00BB1F3E"/>
    <w:rsid w:val="00BB28D3"/>
    <w:rsid w:val="00BB66D9"/>
    <w:rsid w:val="00BC012D"/>
    <w:rsid w:val="00BC1FDC"/>
    <w:rsid w:val="00BC2679"/>
    <w:rsid w:val="00BC2ADB"/>
    <w:rsid w:val="00BC6BC3"/>
    <w:rsid w:val="00BD04C2"/>
    <w:rsid w:val="00BD1346"/>
    <w:rsid w:val="00BD3386"/>
    <w:rsid w:val="00BD422E"/>
    <w:rsid w:val="00BD431C"/>
    <w:rsid w:val="00BE149D"/>
    <w:rsid w:val="00BE4740"/>
    <w:rsid w:val="00BE5388"/>
    <w:rsid w:val="00BE6C58"/>
    <w:rsid w:val="00BE7137"/>
    <w:rsid w:val="00BF74AD"/>
    <w:rsid w:val="00BF7BCF"/>
    <w:rsid w:val="00C006D1"/>
    <w:rsid w:val="00C077B9"/>
    <w:rsid w:val="00C10C8E"/>
    <w:rsid w:val="00C1143B"/>
    <w:rsid w:val="00C11894"/>
    <w:rsid w:val="00C12506"/>
    <w:rsid w:val="00C1310A"/>
    <w:rsid w:val="00C1399E"/>
    <w:rsid w:val="00C139A6"/>
    <w:rsid w:val="00C14C55"/>
    <w:rsid w:val="00C22DD9"/>
    <w:rsid w:val="00C23B9E"/>
    <w:rsid w:val="00C254DF"/>
    <w:rsid w:val="00C26648"/>
    <w:rsid w:val="00C275B7"/>
    <w:rsid w:val="00C33B3A"/>
    <w:rsid w:val="00C37083"/>
    <w:rsid w:val="00C46E28"/>
    <w:rsid w:val="00C472D4"/>
    <w:rsid w:val="00C52E9E"/>
    <w:rsid w:val="00C55A10"/>
    <w:rsid w:val="00C56A80"/>
    <w:rsid w:val="00C57ACD"/>
    <w:rsid w:val="00C601C9"/>
    <w:rsid w:val="00C630B9"/>
    <w:rsid w:val="00C634B4"/>
    <w:rsid w:val="00C638DB"/>
    <w:rsid w:val="00C642C2"/>
    <w:rsid w:val="00C67A9F"/>
    <w:rsid w:val="00C7245D"/>
    <w:rsid w:val="00C72A8C"/>
    <w:rsid w:val="00C74EF7"/>
    <w:rsid w:val="00C82196"/>
    <w:rsid w:val="00C83007"/>
    <w:rsid w:val="00C83865"/>
    <w:rsid w:val="00C83B59"/>
    <w:rsid w:val="00C85209"/>
    <w:rsid w:val="00C85761"/>
    <w:rsid w:val="00C8648D"/>
    <w:rsid w:val="00C946A4"/>
    <w:rsid w:val="00C97491"/>
    <w:rsid w:val="00CA0A27"/>
    <w:rsid w:val="00CA186A"/>
    <w:rsid w:val="00CA1A57"/>
    <w:rsid w:val="00CA2487"/>
    <w:rsid w:val="00CA4ECB"/>
    <w:rsid w:val="00CB18B3"/>
    <w:rsid w:val="00CB736A"/>
    <w:rsid w:val="00CC0175"/>
    <w:rsid w:val="00CC072B"/>
    <w:rsid w:val="00CC0BBA"/>
    <w:rsid w:val="00CC1102"/>
    <w:rsid w:val="00CC15AA"/>
    <w:rsid w:val="00CC2B4C"/>
    <w:rsid w:val="00CD26BE"/>
    <w:rsid w:val="00CD46E7"/>
    <w:rsid w:val="00CD4CA7"/>
    <w:rsid w:val="00CD5A1F"/>
    <w:rsid w:val="00CD68C0"/>
    <w:rsid w:val="00CD74A8"/>
    <w:rsid w:val="00CE17FE"/>
    <w:rsid w:val="00CE393C"/>
    <w:rsid w:val="00CE5FF6"/>
    <w:rsid w:val="00CE70E2"/>
    <w:rsid w:val="00CE7523"/>
    <w:rsid w:val="00CE7A42"/>
    <w:rsid w:val="00CF0F0A"/>
    <w:rsid w:val="00CF1D15"/>
    <w:rsid w:val="00CF210E"/>
    <w:rsid w:val="00CF3BB7"/>
    <w:rsid w:val="00CF3F36"/>
    <w:rsid w:val="00CF4FAB"/>
    <w:rsid w:val="00CF6808"/>
    <w:rsid w:val="00CF6928"/>
    <w:rsid w:val="00D041FB"/>
    <w:rsid w:val="00D1110D"/>
    <w:rsid w:val="00D20858"/>
    <w:rsid w:val="00D20BAF"/>
    <w:rsid w:val="00D22C3A"/>
    <w:rsid w:val="00D22CE8"/>
    <w:rsid w:val="00D22D39"/>
    <w:rsid w:val="00D26917"/>
    <w:rsid w:val="00D26F2C"/>
    <w:rsid w:val="00D27CDF"/>
    <w:rsid w:val="00D30D89"/>
    <w:rsid w:val="00D36D50"/>
    <w:rsid w:val="00D37790"/>
    <w:rsid w:val="00D407EC"/>
    <w:rsid w:val="00D41D79"/>
    <w:rsid w:val="00D429F2"/>
    <w:rsid w:val="00D45333"/>
    <w:rsid w:val="00D47B7D"/>
    <w:rsid w:val="00D531E6"/>
    <w:rsid w:val="00D5487D"/>
    <w:rsid w:val="00D62BD1"/>
    <w:rsid w:val="00D64372"/>
    <w:rsid w:val="00D65E89"/>
    <w:rsid w:val="00D66148"/>
    <w:rsid w:val="00D71A6C"/>
    <w:rsid w:val="00D724F2"/>
    <w:rsid w:val="00D725BC"/>
    <w:rsid w:val="00D75416"/>
    <w:rsid w:val="00D8172B"/>
    <w:rsid w:val="00D844DA"/>
    <w:rsid w:val="00D872AB"/>
    <w:rsid w:val="00D87EA8"/>
    <w:rsid w:val="00D90726"/>
    <w:rsid w:val="00D90919"/>
    <w:rsid w:val="00D91535"/>
    <w:rsid w:val="00D9352F"/>
    <w:rsid w:val="00D945F5"/>
    <w:rsid w:val="00D9520A"/>
    <w:rsid w:val="00D957C6"/>
    <w:rsid w:val="00D95B03"/>
    <w:rsid w:val="00DA039A"/>
    <w:rsid w:val="00DA1218"/>
    <w:rsid w:val="00DA5093"/>
    <w:rsid w:val="00DA5B21"/>
    <w:rsid w:val="00DB085F"/>
    <w:rsid w:val="00DB1BE0"/>
    <w:rsid w:val="00DB2931"/>
    <w:rsid w:val="00DB3E41"/>
    <w:rsid w:val="00DB5CE5"/>
    <w:rsid w:val="00DC1508"/>
    <w:rsid w:val="00DC205B"/>
    <w:rsid w:val="00DC49E1"/>
    <w:rsid w:val="00DC70FA"/>
    <w:rsid w:val="00DD0931"/>
    <w:rsid w:val="00DD1034"/>
    <w:rsid w:val="00DD108D"/>
    <w:rsid w:val="00DD2DC3"/>
    <w:rsid w:val="00DD69E2"/>
    <w:rsid w:val="00DD773F"/>
    <w:rsid w:val="00DE1B57"/>
    <w:rsid w:val="00DE36B8"/>
    <w:rsid w:val="00DE622C"/>
    <w:rsid w:val="00DE657E"/>
    <w:rsid w:val="00DF3D10"/>
    <w:rsid w:val="00DF3DD5"/>
    <w:rsid w:val="00DF5047"/>
    <w:rsid w:val="00E01A06"/>
    <w:rsid w:val="00E03131"/>
    <w:rsid w:val="00E039D3"/>
    <w:rsid w:val="00E10F87"/>
    <w:rsid w:val="00E1144C"/>
    <w:rsid w:val="00E119BD"/>
    <w:rsid w:val="00E12B2B"/>
    <w:rsid w:val="00E16374"/>
    <w:rsid w:val="00E20485"/>
    <w:rsid w:val="00E219F4"/>
    <w:rsid w:val="00E367B3"/>
    <w:rsid w:val="00E374C9"/>
    <w:rsid w:val="00E40A15"/>
    <w:rsid w:val="00E41942"/>
    <w:rsid w:val="00E41A3E"/>
    <w:rsid w:val="00E44A9D"/>
    <w:rsid w:val="00E52D56"/>
    <w:rsid w:val="00E5339D"/>
    <w:rsid w:val="00E5363C"/>
    <w:rsid w:val="00E545DA"/>
    <w:rsid w:val="00E6365A"/>
    <w:rsid w:val="00E649BB"/>
    <w:rsid w:val="00E64DA7"/>
    <w:rsid w:val="00E66749"/>
    <w:rsid w:val="00E67291"/>
    <w:rsid w:val="00E704F5"/>
    <w:rsid w:val="00E70E92"/>
    <w:rsid w:val="00E71726"/>
    <w:rsid w:val="00E7334E"/>
    <w:rsid w:val="00E75A12"/>
    <w:rsid w:val="00E77009"/>
    <w:rsid w:val="00E8033D"/>
    <w:rsid w:val="00E821D0"/>
    <w:rsid w:val="00E842B3"/>
    <w:rsid w:val="00E84789"/>
    <w:rsid w:val="00E85664"/>
    <w:rsid w:val="00E86311"/>
    <w:rsid w:val="00E86A98"/>
    <w:rsid w:val="00E87240"/>
    <w:rsid w:val="00E9066F"/>
    <w:rsid w:val="00E93813"/>
    <w:rsid w:val="00E93E18"/>
    <w:rsid w:val="00E949E4"/>
    <w:rsid w:val="00EA0119"/>
    <w:rsid w:val="00EA1F62"/>
    <w:rsid w:val="00EA4852"/>
    <w:rsid w:val="00EB013E"/>
    <w:rsid w:val="00EB3385"/>
    <w:rsid w:val="00EB57F1"/>
    <w:rsid w:val="00EB6F27"/>
    <w:rsid w:val="00EB74E8"/>
    <w:rsid w:val="00EC17FB"/>
    <w:rsid w:val="00EC38F7"/>
    <w:rsid w:val="00EC48D8"/>
    <w:rsid w:val="00EC4A61"/>
    <w:rsid w:val="00EC579C"/>
    <w:rsid w:val="00EC70BD"/>
    <w:rsid w:val="00EC76D4"/>
    <w:rsid w:val="00ED30B1"/>
    <w:rsid w:val="00ED3130"/>
    <w:rsid w:val="00ED505F"/>
    <w:rsid w:val="00ED5453"/>
    <w:rsid w:val="00ED59D3"/>
    <w:rsid w:val="00ED66AC"/>
    <w:rsid w:val="00ED77A5"/>
    <w:rsid w:val="00EE22D0"/>
    <w:rsid w:val="00EE3B4A"/>
    <w:rsid w:val="00EE4641"/>
    <w:rsid w:val="00EF0B37"/>
    <w:rsid w:val="00EF1D84"/>
    <w:rsid w:val="00EF5F11"/>
    <w:rsid w:val="00F00A46"/>
    <w:rsid w:val="00F0628B"/>
    <w:rsid w:val="00F072A2"/>
    <w:rsid w:val="00F07ADD"/>
    <w:rsid w:val="00F10E23"/>
    <w:rsid w:val="00F114FF"/>
    <w:rsid w:val="00F13F39"/>
    <w:rsid w:val="00F16AB0"/>
    <w:rsid w:val="00F21E2D"/>
    <w:rsid w:val="00F24DEE"/>
    <w:rsid w:val="00F308A4"/>
    <w:rsid w:val="00F33F48"/>
    <w:rsid w:val="00F3463A"/>
    <w:rsid w:val="00F34828"/>
    <w:rsid w:val="00F36E18"/>
    <w:rsid w:val="00F37B89"/>
    <w:rsid w:val="00F37DBC"/>
    <w:rsid w:val="00F44018"/>
    <w:rsid w:val="00F44D99"/>
    <w:rsid w:val="00F45883"/>
    <w:rsid w:val="00F465F0"/>
    <w:rsid w:val="00F51C49"/>
    <w:rsid w:val="00F56847"/>
    <w:rsid w:val="00F609FF"/>
    <w:rsid w:val="00F62A14"/>
    <w:rsid w:val="00F63F7E"/>
    <w:rsid w:val="00F64BD6"/>
    <w:rsid w:val="00F707B1"/>
    <w:rsid w:val="00F71293"/>
    <w:rsid w:val="00F71D20"/>
    <w:rsid w:val="00F734B7"/>
    <w:rsid w:val="00F77287"/>
    <w:rsid w:val="00F81423"/>
    <w:rsid w:val="00F8237B"/>
    <w:rsid w:val="00F828F2"/>
    <w:rsid w:val="00F833A1"/>
    <w:rsid w:val="00F8532F"/>
    <w:rsid w:val="00F90B0A"/>
    <w:rsid w:val="00F91D63"/>
    <w:rsid w:val="00F93CB7"/>
    <w:rsid w:val="00F9542A"/>
    <w:rsid w:val="00FA00DE"/>
    <w:rsid w:val="00FA374B"/>
    <w:rsid w:val="00FA4442"/>
    <w:rsid w:val="00FA50A6"/>
    <w:rsid w:val="00FA709C"/>
    <w:rsid w:val="00FB06EF"/>
    <w:rsid w:val="00FB1E3A"/>
    <w:rsid w:val="00FB35DA"/>
    <w:rsid w:val="00FB45B7"/>
    <w:rsid w:val="00FB5FC3"/>
    <w:rsid w:val="00FB7A57"/>
    <w:rsid w:val="00FC28DE"/>
    <w:rsid w:val="00FC4B01"/>
    <w:rsid w:val="00FD4B8E"/>
    <w:rsid w:val="00FD4C90"/>
    <w:rsid w:val="00FD67E4"/>
    <w:rsid w:val="00FD6B34"/>
    <w:rsid w:val="00FE3E36"/>
    <w:rsid w:val="00FE7223"/>
    <w:rsid w:val="00FF4E9A"/>
    <w:rsid w:val="00FF652B"/>
    <w:rsid w:val="00FF75CD"/>
    <w:rsid w:val="00FF76F6"/>
    <w:rsid w:val="00FF7D8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6E26B020-5476-4DCF-A9E9-CB3BC4F5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F98"/>
    <w:rPr>
      <w:rFonts w:ascii="Times New Roman" w:eastAsia="Times New Roman" w:hAnsi="Times New Roman"/>
      <w:lang w:eastAsia="es-ES"/>
    </w:rPr>
  </w:style>
  <w:style w:type="paragraph" w:styleId="Ttulo1">
    <w:name w:val="heading 1"/>
    <w:basedOn w:val="Normal"/>
    <w:next w:val="Normal"/>
    <w:link w:val="Ttulo1Car"/>
    <w:qFormat/>
    <w:rsid w:val="00596F98"/>
    <w:pPr>
      <w:keepNext/>
      <w:widowControl w:val="0"/>
      <w:outlineLvl w:val="0"/>
    </w:pPr>
    <w:rPr>
      <w:rFonts w:ascii="Arial" w:hAnsi="Arial"/>
      <w:b/>
      <w:snapToGrid w:val="0"/>
      <w:sz w:val="32"/>
    </w:rPr>
  </w:style>
  <w:style w:type="paragraph" w:styleId="Ttulo5">
    <w:name w:val="heading 5"/>
    <w:basedOn w:val="Normal"/>
    <w:next w:val="Normal"/>
    <w:link w:val="Ttulo5Car"/>
    <w:qFormat/>
    <w:rsid w:val="00596F98"/>
    <w:pPr>
      <w:keepNext/>
      <w:outlineLvl w:val="4"/>
    </w:pPr>
    <w:rPr>
      <w:rFonts w:ascii="Arial" w:hAnsi="Arial"/>
      <w:b/>
      <w:sz w:val="24"/>
    </w:rPr>
  </w:style>
  <w:style w:type="paragraph" w:styleId="Ttulo6">
    <w:name w:val="heading 6"/>
    <w:basedOn w:val="Normal"/>
    <w:next w:val="Normal"/>
    <w:link w:val="Ttulo6Car"/>
    <w:qFormat/>
    <w:rsid w:val="00596F98"/>
    <w:pPr>
      <w:keepNext/>
      <w:jc w:val="center"/>
      <w:outlineLvl w:val="5"/>
    </w:pPr>
    <w:rPr>
      <w:rFonts w:ascii="Arial" w:hAnsi="Arial"/>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96F98"/>
    <w:rPr>
      <w:rFonts w:ascii="Arial" w:eastAsia="Times New Roman" w:hAnsi="Arial" w:cs="Times New Roman"/>
      <w:b/>
      <w:snapToGrid w:val="0"/>
      <w:sz w:val="32"/>
      <w:szCs w:val="20"/>
      <w:lang w:val="es-ES" w:eastAsia="es-ES"/>
    </w:rPr>
  </w:style>
  <w:style w:type="character" w:customStyle="1" w:styleId="Ttulo5Car">
    <w:name w:val="Título 5 Car"/>
    <w:basedOn w:val="Fuentedeprrafopredeter"/>
    <w:link w:val="Ttulo5"/>
    <w:rsid w:val="00596F98"/>
    <w:rPr>
      <w:rFonts w:ascii="Arial" w:eastAsia="Times New Roman" w:hAnsi="Arial" w:cs="Times New Roman"/>
      <w:b/>
      <w:sz w:val="24"/>
      <w:szCs w:val="20"/>
      <w:lang w:val="es-ES" w:eastAsia="es-ES"/>
    </w:rPr>
  </w:style>
  <w:style w:type="character" w:customStyle="1" w:styleId="Ttulo6Car">
    <w:name w:val="Título 6 Car"/>
    <w:basedOn w:val="Fuentedeprrafopredeter"/>
    <w:link w:val="Ttulo6"/>
    <w:rsid w:val="00596F98"/>
    <w:rPr>
      <w:rFonts w:ascii="Arial" w:eastAsia="Times New Roman" w:hAnsi="Arial" w:cs="Times New Roman"/>
      <w:b/>
      <w:sz w:val="32"/>
      <w:szCs w:val="20"/>
      <w:lang w:val="es-ES" w:eastAsia="es-ES"/>
    </w:rPr>
  </w:style>
  <w:style w:type="paragraph" w:styleId="Sangradetextonormal">
    <w:name w:val="Body Text Indent"/>
    <w:basedOn w:val="Normal"/>
    <w:link w:val="SangradetextonormalCar"/>
    <w:semiHidden/>
    <w:rsid w:val="00596F98"/>
    <w:pPr>
      <w:ind w:left="923" w:hanging="923"/>
    </w:pPr>
    <w:rPr>
      <w:rFonts w:ascii="Arial" w:hAnsi="Arial"/>
      <w:sz w:val="22"/>
    </w:rPr>
  </w:style>
  <w:style w:type="character" w:customStyle="1" w:styleId="SangradetextonormalCar">
    <w:name w:val="Sangría de texto normal Car"/>
    <w:basedOn w:val="Fuentedeprrafopredeter"/>
    <w:link w:val="Sangradetextonormal"/>
    <w:semiHidden/>
    <w:rsid w:val="00596F98"/>
    <w:rPr>
      <w:rFonts w:ascii="Arial" w:eastAsia="Times New Roman" w:hAnsi="Arial" w:cs="Times New Roman"/>
      <w:szCs w:val="20"/>
      <w:lang w:val="es-ES" w:eastAsia="es-ES"/>
    </w:rPr>
  </w:style>
  <w:style w:type="paragraph" w:styleId="Sangra2detindependiente">
    <w:name w:val="Body Text Indent 2"/>
    <w:basedOn w:val="Normal"/>
    <w:link w:val="Sangra2detindependienteCar"/>
    <w:semiHidden/>
    <w:rsid w:val="00596F98"/>
    <w:pPr>
      <w:tabs>
        <w:tab w:val="left" w:pos="-284"/>
      </w:tabs>
      <w:suppressAutoHyphens/>
      <w:ind w:left="355"/>
      <w:jc w:val="both"/>
    </w:pPr>
    <w:rPr>
      <w:rFonts w:ascii="Arial" w:hAnsi="Arial"/>
      <w:spacing w:val="-3"/>
      <w:sz w:val="18"/>
      <w:lang w:val="es-ES_tradnl"/>
    </w:rPr>
  </w:style>
  <w:style w:type="character" w:customStyle="1" w:styleId="Sangra2detindependienteCar">
    <w:name w:val="Sangría 2 de t. independiente Car"/>
    <w:basedOn w:val="Fuentedeprrafopredeter"/>
    <w:link w:val="Sangra2detindependiente"/>
    <w:semiHidden/>
    <w:rsid w:val="00596F98"/>
    <w:rPr>
      <w:rFonts w:ascii="Arial" w:eastAsia="Times New Roman" w:hAnsi="Arial" w:cs="Times New Roman"/>
      <w:spacing w:val="-3"/>
      <w:sz w:val="18"/>
      <w:szCs w:val="20"/>
      <w:lang w:val="es-ES_tradnl" w:eastAsia="es-ES"/>
    </w:rPr>
  </w:style>
  <w:style w:type="paragraph" w:styleId="Textoindependiente2">
    <w:name w:val="Body Text 2"/>
    <w:basedOn w:val="Normal"/>
    <w:link w:val="Textoindependiente2Car"/>
    <w:semiHidden/>
    <w:rsid w:val="00596F98"/>
    <w:pPr>
      <w:suppressAutoHyphens/>
      <w:jc w:val="both"/>
    </w:pPr>
    <w:rPr>
      <w:rFonts w:ascii="Arial" w:hAnsi="Arial"/>
      <w:b/>
      <w:spacing w:val="-3"/>
      <w:sz w:val="22"/>
      <w:u w:val="single"/>
      <w:lang w:val="es-ES_tradnl"/>
    </w:rPr>
  </w:style>
  <w:style w:type="character" w:customStyle="1" w:styleId="Textoindependiente2Car">
    <w:name w:val="Texto independiente 2 Car"/>
    <w:basedOn w:val="Fuentedeprrafopredeter"/>
    <w:link w:val="Textoindependiente2"/>
    <w:semiHidden/>
    <w:rsid w:val="00596F98"/>
    <w:rPr>
      <w:rFonts w:ascii="Arial" w:eastAsia="Times New Roman" w:hAnsi="Arial" w:cs="Times New Roman"/>
      <w:b/>
      <w:spacing w:val="-3"/>
      <w:szCs w:val="20"/>
      <w:u w:val="single"/>
      <w:lang w:val="es-ES_tradnl" w:eastAsia="es-ES"/>
    </w:rPr>
  </w:style>
  <w:style w:type="paragraph" w:styleId="NormalWeb">
    <w:name w:val="Normal (Web)"/>
    <w:basedOn w:val="Normal"/>
    <w:uiPriority w:val="99"/>
    <w:rsid w:val="00596F98"/>
    <w:pPr>
      <w:spacing w:before="100" w:beforeAutospacing="1" w:after="100" w:afterAutospacing="1"/>
    </w:pPr>
    <w:rPr>
      <w:sz w:val="24"/>
      <w:szCs w:val="24"/>
      <w:lang w:val="es-CL" w:eastAsia="es-CL"/>
    </w:rPr>
  </w:style>
  <w:style w:type="paragraph" w:styleId="Textonotapie">
    <w:name w:val="footnote text"/>
    <w:basedOn w:val="Normal"/>
    <w:link w:val="TextonotapieCar"/>
    <w:uiPriority w:val="99"/>
    <w:semiHidden/>
    <w:unhideWhenUsed/>
    <w:rsid w:val="0082287E"/>
  </w:style>
  <w:style w:type="character" w:customStyle="1" w:styleId="TextonotapieCar">
    <w:name w:val="Texto nota pie Car"/>
    <w:basedOn w:val="Fuentedeprrafopredeter"/>
    <w:link w:val="Textonotapie"/>
    <w:uiPriority w:val="99"/>
    <w:semiHidden/>
    <w:rsid w:val="0082287E"/>
    <w:rPr>
      <w:rFonts w:ascii="Times New Roman" w:eastAsia="Times New Roman" w:hAnsi="Times New Roman"/>
      <w:lang w:val="es-ES" w:eastAsia="es-ES"/>
    </w:rPr>
  </w:style>
  <w:style w:type="character" w:styleId="Refdenotaalpie">
    <w:name w:val="footnote reference"/>
    <w:basedOn w:val="Fuentedeprrafopredeter"/>
    <w:uiPriority w:val="99"/>
    <w:semiHidden/>
    <w:unhideWhenUsed/>
    <w:rsid w:val="0082287E"/>
    <w:rPr>
      <w:vertAlign w:val="superscript"/>
    </w:rPr>
  </w:style>
  <w:style w:type="paragraph" w:styleId="Encabezado">
    <w:name w:val="header"/>
    <w:basedOn w:val="Normal"/>
    <w:link w:val="EncabezadoCar"/>
    <w:uiPriority w:val="99"/>
    <w:unhideWhenUsed/>
    <w:rsid w:val="00B700C1"/>
    <w:pPr>
      <w:tabs>
        <w:tab w:val="center" w:pos="4419"/>
        <w:tab w:val="right" w:pos="8838"/>
      </w:tabs>
    </w:pPr>
  </w:style>
  <w:style w:type="character" w:customStyle="1" w:styleId="EncabezadoCar">
    <w:name w:val="Encabezado Car"/>
    <w:basedOn w:val="Fuentedeprrafopredeter"/>
    <w:link w:val="Encabezado"/>
    <w:uiPriority w:val="99"/>
    <w:rsid w:val="00B700C1"/>
    <w:rPr>
      <w:rFonts w:ascii="Times New Roman" w:eastAsia="Times New Roman" w:hAnsi="Times New Roman"/>
      <w:lang w:val="es-ES" w:eastAsia="es-ES"/>
    </w:rPr>
  </w:style>
  <w:style w:type="paragraph" w:styleId="Piedepgina">
    <w:name w:val="footer"/>
    <w:basedOn w:val="Normal"/>
    <w:link w:val="PiedepginaCar"/>
    <w:uiPriority w:val="99"/>
    <w:semiHidden/>
    <w:unhideWhenUsed/>
    <w:rsid w:val="00B700C1"/>
    <w:pPr>
      <w:tabs>
        <w:tab w:val="center" w:pos="4419"/>
        <w:tab w:val="right" w:pos="8838"/>
      </w:tabs>
    </w:pPr>
  </w:style>
  <w:style w:type="character" w:customStyle="1" w:styleId="PiedepginaCar">
    <w:name w:val="Pie de página Car"/>
    <w:basedOn w:val="Fuentedeprrafopredeter"/>
    <w:link w:val="Piedepgina"/>
    <w:uiPriority w:val="99"/>
    <w:semiHidden/>
    <w:rsid w:val="00B700C1"/>
    <w:rPr>
      <w:rFonts w:ascii="Times New Roman" w:eastAsia="Times New Roman" w:hAnsi="Times New Roman"/>
      <w:lang w:val="es-ES" w:eastAsia="es-ES"/>
    </w:rPr>
  </w:style>
  <w:style w:type="character" w:styleId="Refdecomentario">
    <w:name w:val="annotation reference"/>
    <w:basedOn w:val="Fuentedeprrafopredeter"/>
    <w:semiHidden/>
    <w:rsid w:val="00A713D2"/>
    <w:rPr>
      <w:sz w:val="16"/>
      <w:szCs w:val="16"/>
    </w:rPr>
  </w:style>
  <w:style w:type="paragraph" w:styleId="Textocomentario">
    <w:name w:val="annotation text"/>
    <w:basedOn w:val="Normal"/>
    <w:semiHidden/>
    <w:rsid w:val="00A713D2"/>
  </w:style>
  <w:style w:type="paragraph" w:styleId="Asuntodelcomentario">
    <w:name w:val="annotation subject"/>
    <w:basedOn w:val="Textocomentario"/>
    <w:next w:val="Textocomentario"/>
    <w:semiHidden/>
    <w:rsid w:val="00A713D2"/>
    <w:rPr>
      <w:b/>
      <w:bCs/>
    </w:rPr>
  </w:style>
  <w:style w:type="paragraph" w:styleId="Textodeglobo">
    <w:name w:val="Balloon Text"/>
    <w:basedOn w:val="Normal"/>
    <w:semiHidden/>
    <w:rsid w:val="00A713D2"/>
    <w:rPr>
      <w:rFonts w:ascii="Tahoma" w:hAnsi="Tahoma" w:cs="Tahoma"/>
      <w:sz w:val="16"/>
      <w:szCs w:val="16"/>
    </w:rPr>
  </w:style>
  <w:style w:type="paragraph" w:styleId="Textonotaalfinal">
    <w:name w:val="endnote text"/>
    <w:basedOn w:val="Normal"/>
    <w:link w:val="TextonotaalfinalCar"/>
    <w:uiPriority w:val="99"/>
    <w:semiHidden/>
    <w:unhideWhenUsed/>
    <w:rsid w:val="00FF76F6"/>
  </w:style>
  <w:style w:type="character" w:customStyle="1" w:styleId="TextonotaalfinalCar">
    <w:name w:val="Texto nota al final Car"/>
    <w:basedOn w:val="Fuentedeprrafopredeter"/>
    <w:link w:val="Textonotaalfinal"/>
    <w:uiPriority w:val="99"/>
    <w:semiHidden/>
    <w:rsid w:val="00FF76F6"/>
    <w:rPr>
      <w:rFonts w:ascii="Times New Roman" w:eastAsia="Times New Roman" w:hAnsi="Times New Roman"/>
      <w:lang w:val="es-ES" w:eastAsia="es-ES"/>
    </w:rPr>
  </w:style>
  <w:style w:type="character" w:styleId="Refdenotaalfinal">
    <w:name w:val="endnote reference"/>
    <w:basedOn w:val="Fuentedeprrafopredeter"/>
    <w:uiPriority w:val="99"/>
    <w:semiHidden/>
    <w:unhideWhenUsed/>
    <w:rsid w:val="00FF76F6"/>
    <w:rPr>
      <w:vertAlign w:val="superscript"/>
    </w:rPr>
  </w:style>
  <w:style w:type="paragraph" w:styleId="Prrafodelista">
    <w:name w:val="List Paragraph"/>
    <w:basedOn w:val="Normal"/>
    <w:uiPriority w:val="34"/>
    <w:qFormat/>
    <w:rsid w:val="0051173F"/>
    <w:pPr>
      <w:ind w:left="708"/>
    </w:pPr>
  </w:style>
  <w:style w:type="character" w:styleId="Textoennegrita">
    <w:name w:val="Strong"/>
    <w:basedOn w:val="Fuentedeprrafopredeter"/>
    <w:uiPriority w:val="22"/>
    <w:qFormat/>
    <w:rsid w:val="00140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20599">
      <w:bodyDiv w:val="1"/>
      <w:marLeft w:val="0"/>
      <w:marRight w:val="0"/>
      <w:marTop w:val="0"/>
      <w:marBottom w:val="0"/>
      <w:divBdr>
        <w:top w:val="none" w:sz="0" w:space="0" w:color="auto"/>
        <w:left w:val="none" w:sz="0" w:space="0" w:color="auto"/>
        <w:bottom w:val="none" w:sz="0" w:space="0" w:color="auto"/>
        <w:right w:val="none" w:sz="0" w:space="0" w:color="auto"/>
      </w:divBdr>
    </w:div>
    <w:div w:id="204222787">
      <w:bodyDiv w:val="1"/>
      <w:marLeft w:val="0"/>
      <w:marRight w:val="0"/>
      <w:marTop w:val="0"/>
      <w:marBottom w:val="0"/>
      <w:divBdr>
        <w:top w:val="none" w:sz="0" w:space="0" w:color="auto"/>
        <w:left w:val="none" w:sz="0" w:space="0" w:color="auto"/>
        <w:bottom w:val="none" w:sz="0" w:space="0" w:color="auto"/>
        <w:right w:val="none" w:sz="0" w:space="0" w:color="auto"/>
      </w:divBdr>
    </w:div>
    <w:div w:id="246768983">
      <w:bodyDiv w:val="1"/>
      <w:marLeft w:val="0"/>
      <w:marRight w:val="0"/>
      <w:marTop w:val="0"/>
      <w:marBottom w:val="0"/>
      <w:divBdr>
        <w:top w:val="none" w:sz="0" w:space="0" w:color="auto"/>
        <w:left w:val="none" w:sz="0" w:space="0" w:color="auto"/>
        <w:bottom w:val="none" w:sz="0" w:space="0" w:color="auto"/>
        <w:right w:val="none" w:sz="0" w:space="0" w:color="auto"/>
      </w:divBdr>
    </w:div>
    <w:div w:id="390006978">
      <w:bodyDiv w:val="1"/>
      <w:marLeft w:val="0"/>
      <w:marRight w:val="0"/>
      <w:marTop w:val="0"/>
      <w:marBottom w:val="0"/>
      <w:divBdr>
        <w:top w:val="none" w:sz="0" w:space="0" w:color="auto"/>
        <w:left w:val="none" w:sz="0" w:space="0" w:color="auto"/>
        <w:bottom w:val="none" w:sz="0" w:space="0" w:color="auto"/>
        <w:right w:val="none" w:sz="0" w:space="0" w:color="auto"/>
      </w:divBdr>
    </w:div>
    <w:div w:id="770860920">
      <w:bodyDiv w:val="1"/>
      <w:marLeft w:val="0"/>
      <w:marRight w:val="0"/>
      <w:marTop w:val="0"/>
      <w:marBottom w:val="0"/>
      <w:divBdr>
        <w:top w:val="none" w:sz="0" w:space="0" w:color="auto"/>
        <w:left w:val="none" w:sz="0" w:space="0" w:color="auto"/>
        <w:bottom w:val="none" w:sz="0" w:space="0" w:color="auto"/>
        <w:right w:val="none" w:sz="0" w:space="0" w:color="auto"/>
      </w:divBdr>
    </w:div>
    <w:div w:id="1521357237">
      <w:bodyDiv w:val="1"/>
      <w:marLeft w:val="0"/>
      <w:marRight w:val="0"/>
      <w:marTop w:val="0"/>
      <w:marBottom w:val="0"/>
      <w:divBdr>
        <w:top w:val="none" w:sz="0" w:space="0" w:color="auto"/>
        <w:left w:val="none" w:sz="0" w:space="0" w:color="auto"/>
        <w:bottom w:val="none" w:sz="0" w:space="0" w:color="auto"/>
        <w:right w:val="none" w:sz="0" w:space="0" w:color="auto"/>
      </w:divBdr>
    </w:div>
    <w:div w:id="1677147443">
      <w:bodyDiv w:val="1"/>
      <w:marLeft w:val="0"/>
      <w:marRight w:val="0"/>
      <w:marTop w:val="0"/>
      <w:marBottom w:val="0"/>
      <w:divBdr>
        <w:top w:val="none" w:sz="0" w:space="0" w:color="auto"/>
        <w:left w:val="none" w:sz="0" w:space="0" w:color="auto"/>
        <w:bottom w:val="none" w:sz="0" w:space="0" w:color="auto"/>
        <w:right w:val="none" w:sz="0" w:space="0" w:color="auto"/>
      </w:divBdr>
    </w:div>
    <w:div w:id="187244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ii.c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FF02F-E397-426B-BC28-6B708B59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18600</Words>
  <Characters>102301</Characters>
  <Application>Microsoft Office Word</Application>
  <DocSecurity>0</DocSecurity>
  <Lines>852</Lines>
  <Paragraphs>241</Paragraphs>
  <ScaleCrop>false</ScaleCrop>
  <HeadingPairs>
    <vt:vector size="2" baseType="variant">
      <vt:variant>
        <vt:lpstr>Título</vt:lpstr>
      </vt:variant>
      <vt:variant>
        <vt:i4>1</vt:i4>
      </vt:variant>
    </vt:vector>
  </HeadingPairs>
  <TitlesOfParts>
    <vt:vector size="1" baseType="lpstr">
      <vt:lpstr>CIRCULAR N°74 DEL 03 DE DICIEMBRE DEL 2010</vt:lpstr>
    </vt:vector>
  </TitlesOfParts>
  <Company/>
  <LinksUpToDate>false</LinksUpToDate>
  <CharactersWithSpaces>120660</CharactersWithSpaces>
  <SharedDoc>false</SharedDoc>
  <HLinks>
    <vt:vector size="6" baseType="variant">
      <vt:variant>
        <vt:i4>8192123</vt:i4>
      </vt:variant>
      <vt:variant>
        <vt:i4>0</vt:i4>
      </vt:variant>
      <vt:variant>
        <vt:i4>0</vt:i4>
      </vt:variant>
      <vt:variant>
        <vt:i4>5</vt:i4>
      </vt:variant>
      <vt:variant>
        <vt:lpwstr>http://www.sii.cl/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N°74 DEL 03 DE DICIEMBRE DEL 2010</dc:title>
  <dc:subject>Instrucciones sobre el Impuesto Específico a la Renta Operacional de la Actividad Minera, de acuerdo a lo dispuesto en los artículos 64 bis y 64 ter, de la Ley sobre Impuesto a la Renta, conforme a las modificaciones introducidas por la Ley 20.469, de 2010.   </dc:subject>
  <dc:creator>SII</dc:creator>
  <cp:keywords/>
  <dc:description/>
  <cp:lastModifiedBy>SoporteSII</cp:lastModifiedBy>
  <cp:revision>2</cp:revision>
  <cp:lastPrinted>2010-12-03T00:21:00Z</cp:lastPrinted>
  <dcterms:created xsi:type="dcterms:W3CDTF">2021-04-13T19:12:00Z</dcterms:created>
  <dcterms:modified xsi:type="dcterms:W3CDTF">2021-04-13T19:12:00Z</dcterms:modified>
</cp:coreProperties>
</file>